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A2C" w:rsidRPr="00165A2C" w:rsidRDefault="00165A2C" w:rsidP="00165A2C">
      <w:pPr>
        <w:pStyle w:val="Default"/>
        <w:rPr>
          <w:sz w:val="19"/>
          <w:szCs w:val="19"/>
          <w:lang w:val="nl-BE"/>
        </w:rPr>
      </w:pPr>
      <w:r w:rsidRPr="00165A2C">
        <w:rPr>
          <w:sz w:val="19"/>
          <w:szCs w:val="19"/>
          <w:lang w:val="nl-BE"/>
        </w:rPr>
        <w:t xml:space="preserve">6.3.2010 </w:t>
      </w:r>
      <w:r w:rsidRPr="00165A2C">
        <w:rPr>
          <w:sz w:val="17"/>
          <w:szCs w:val="17"/>
          <w:lang w:val="nl-BE"/>
        </w:rPr>
        <w:t xml:space="preserve">NL </w:t>
      </w:r>
      <w:r w:rsidRPr="00165A2C">
        <w:rPr>
          <w:sz w:val="19"/>
          <w:szCs w:val="19"/>
          <w:lang w:val="nl-BE"/>
        </w:rPr>
        <w:t xml:space="preserve">Publicatieblad van de Europese Unie L 57/1 </w:t>
      </w:r>
    </w:p>
    <w:p w:rsidR="00165A2C" w:rsidRPr="00165A2C" w:rsidRDefault="00165A2C" w:rsidP="00165A2C">
      <w:pPr>
        <w:pStyle w:val="Default"/>
        <w:rPr>
          <w:sz w:val="25"/>
          <w:szCs w:val="25"/>
          <w:lang w:val="nl-BE"/>
        </w:rPr>
      </w:pPr>
      <w:r w:rsidRPr="00165A2C">
        <w:rPr>
          <w:sz w:val="25"/>
          <w:szCs w:val="25"/>
          <w:lang w:val="nl-BE"/>
        </w:rPr>
        <w:t>II</w:t>
      </w:r>
      <w:r w:rsidRPr="00165A2C">
        <w:rPr>
          <w:i/>
          <w:iCs/>
          <w:sz w:val="19"/>
          <w:szCs w:val="19"/>
          <w:lang w:val="nl-BE"/>
        </w:rPr>
        <w:t>(Niet-wetgevingshandelingen)</w:t>
      </w:r>
      <w:r w:rsidRPr="00165A2C">
        <w:rPr>
          <w:sz w:val="25"/>
          <w:szCs w:val="25"/>
          <w:lang w:val="nl-BE"/>
        </w:rPr>
        <w:t xml:space="preserve">VERORDENINGEN </w:t>
      </w:r>
    </w:p>
    <w:p w:rsidR="00165A2C" w:rsidRPr="00165A2C" w:rsidRDefault="00165A2C" w:rsidP="00165A2C">
      <w:pPr>
        <w:pStyle w:val="Default"/>
        <w:rPr>
          <w:sz w:val="25"/>
          <w:szCs w:val="25"/>
          <w:lang w:val="nl-BE"/>
        </w:rPr>
      </w:pPr>
    </w:p>
    <w:p w:rsidR="00165A2C" w:rsidRPr="00165A2C" w:rsidRDefault="00165A2C" w:rsidP="00165A2C">
      <w:pPr>
        <w:pStyle w:val="Default"/>
        <w:rPr>
          <w:sz w:val="19"/>
          <w:szCs w:val="19"/>
          <w:lang w:val="nl-BE"/>
        </w:rPr>
      </w:pPr>
      <w:r w:rsidRPr="00165A2C">
        <w:rPr>
          <w:b/>
          <w:bCs/>
          <w:sz w:val="19"/>
          <w:szCs w:val="19"/>
          <w:lang w:val="nl-BE"/>
        </w:rPr>
        <w:t>VERORDENING (EU) NR. 164/2010 VAN DE COMMISSIE</w:t>
      </w:r>
    </w:p>
    <w:p w:rsidR="00165A2C" w:rsidRPr="00165A2C" w:rsidRDefault="00165A2C" w:rsidP="00165A2C">
      <w:pPr>
        <w:pStyle w:val="Default"/>
        <w:rPr>
          <w:sz w:val="19"/>
          <w:szCs w:val="19"/>
          <w:lang w:val="nl-BE"/>
        </w:rPr>
      </w:pPr>
      <w:r w:rsidRPr="00165A2C">
        <w:rPr>
          <w:b/>
          <w:bCs/>
          <w:sz w:val="19"/>
          <w:szCs w:val="19"/>
          <w:lang w:val="nl-BE"/>
        </w:rPr>
        <w:t>van 25 januari 2010</w:t>
      </w:r>
    </w:p>
    <w:p w:rsidR="00165A2C" w:rsidRPr="00165A2C" w:rsidRDefault="00165A2C" w:rsidP="00165A2C">
      <w:pPr>
        <w:pStyle w:val="Default"/>
        <w:rPr>
          <w:sz w:val="19"/>
          <w:szCs w:val="19"/>
          <w:lang w:val="nl-BE"/>
        </w:rPr>
      </w:pPr>
      <w:r w:rsidRPr="00165A2C">
        <w:rPr>
          <w:b/>
          <w:bCs/>
          <w:sz w:val="19"/>
          <w:szCs w:val="19"/>
          <w:lang w:val="nl-BE"/>
        </w:rPr>
        <w:t>betreffende de technische specificaties voor elektronische scheepsrapportering voor de binnenvaart als bedoeld in artikel 5 van Richtlijn 2005/44/EG van het Europees Parlement en de Raad betreffende geharmoniseerde River Information Services (RIS) op de binnenwateren in de Gemeenschap</w:t>
      </w:r>
    </w:p>
    <w:p w:rsidR="00165A2C" w:rsidRPr="00165A2C" w:rsidRDefault="00165A2C" w:rsidP="00165A2C">
      <w:pPr>
        <w:pStyle w:val="Default"/>
        <w:rPr>
          <w:sz w:val="19"/>
          <w:szCs w:val="19"/>
          <w:lang w:val="nl-BE"/>
        </w:rPr>
      </w:pPr>
      <w:r w:rsidRPr="00165A2C">
        <w:rPr>
          <w:sz w:val="19"/>
          <w:szCs w:val="19"/>
          <w:lang w:val="nl-BE"/>
        </w:rPr>
        <w:t xml:space="preserve"> </w:t>
      </w:r>
    </w:p>
    <w:p w:rsidR="00165A2C" w:rsidRPr="00165A2C" w:rsidRDefault="00165A2C" w:rsidP="00165A2C">
      <w:pPr>
        <w:pStyle w:val="Default"/>
        <w:rPr>
          <w:sz w:val="17"/>
          <w:szCs w:val="17"/>
          <w:lang w:val="nl-BE"/>
        </w:rPr>
      </w:pPr>
      <w:r w:rsidRPr="00165A2C">
        <w:rPr>
          <w:sz w:val="17"/>
          <w:szCs w:val="17"/>
          <w:lang w:val="nl-BE"/>
        </w:rPr>
        <w:t>DE EUROPESE COMMISSIE,</w:t>
      </w:r>
    </w:p>
    <w:p w:rsidR="00165A2C" w:rsidRPr="00165A2C" w:rsidRDefault="00165A2C" w:rsidP="00165A2C">
      <w:pPr>
        <w:pStyle w:val="Default"/>
        <w:rPr>
          <w:sz w:val="17"/>
          <w:szCs w:val="17"/>
          <w:lang w:val="nl-BE"/>
        </w:rPr>
      </w:pPr>
    </w:p>
    <w:p w:rsidR="00165A2C" w:rsidRPr="00165A2C" w:rsidRDefault="00165A2C" w:rsidP="00165A2C">
      <w:pPr>
        <w:pStyle w:val="Default"/>
        <w:rPr>
          <w:sz w:val="19"/>
          <w:szCs w:val="19"/>
          <w:lang w:val="nl-BE"/>
        </w:rPr>
      </w:pPr>
      <w:r w:rsidRPr="00165A2C">
        <w:rPr>
          <w:sz w:val="19"/>
          <w:szCs w:val="19"/>
          <w:lang w:val="nl-BE"/>
        </w:rPr>
        <w:t>Gelet op het Verdrag betreffende de werking van de Europese Unie,</w:t>
      </w:r>
    </w:p>
    <w:p w:rsidR="00165A2C" w:rsidRPr="00165A2C" w:rsidRDefault="00165A2C" w:rsidP="00165A2C">
      <w:pPr>
        <w:pStyle w:val="Default"/>
        <w:rPr>
          <w:sz w:val="17"/>
          <w:szCs w:val="17"/>
          <w:lang w:val="nl-BE"/>
        </w:rPr>
      </w:pPr>
      <w:r w:rsidRPr="00165A2C">
        <w:rPr>
          <w:sz w:val="19"/>
          <w:szCs w:val="19"/>
          <w:lang w:val="nl-BE"/>
        </w:rPr>
        <w:t xml:space="preserve">Gelet op Richtlijn 2005/44/EG van het Europees Parlement en de Raad van 7 september 2005 betreffende geharmoniseerde River Information Services (RIS) op de binnenwateren in de Gemeenschap </w:t>
      </w:r>
      <w:r w:rsidRPr="00165A2C">
        <w:rPr>
          <w:sz w:val="17"/>
          <w:szCs w:val="17"/>
          <w:lang w:val="nl-BE"/>
        </w:rPr>
        <w:t>(</w:t>
      </w:r>
      <w:r w:rsidRPr="00165A2C">
        <w:rPr>
          <w:sz w:val="10"/>
          <w:szCs w:val="10"/>
          <w:lang w:val="nl-BE"/>
        </w:rPr>
        <w:t>1</w:t>
      </w:r>
      <w:r w:rsidRPr="00165A2C">
        <w:rPr>
          <w:sz w:val="17"/>
          <w:szCs w:val="17"/>
          <w:lang w:val="nl-BE"/>
        </w:rPr>
        <w:t xml:space="preserve">) </w:t>
      </w:r>
    </w:p>
    <w:p w:rsidR="00165A2C" w:rsidRPr="00165A2C" w:rsidRDefault="00165A2C" w:rsidP="00165A2C">
      <w:pPr>
        <w:pStyle w:val="Default"/>
        <w:rPr>
          <w:sz w:val="19"/>
          <w:szCs w:val="19"/>
          <w:lang w:val="nl-BE"/>
        </w:rPr>
      </w:pPr>
      <w:r w:rsidRPr="00165A2C">
        <w:rPr>
          <w:sz w:val="17"/>
          <w:szCs w:val="17"/>
          <w:lang w:val="nl-BE"/>
        </w:rPr>
        <w:t xml:space="preserve">PB L 255 van 30.9.2005, blz. 152. </w:t>
      </w:r>
      <w:r w:rsidRPr="00165A2C">
        <w:rPr>
          <w:sz w:val="19"/>
          <w:szCs w:val="19"/>
          <w:lang w:val="nl-BE"/>
        </w:rPr>
        <w:t>(</w:t>
      </w:r>
      <w:r w:rsidRPr="00165A2C">
        <w:rPr>
          <w:sz w:val="11"/>
          <w:szCs w:val="11"/>
          <w:lang w:val="nl-BE"/>
        </w:rPr>
        <w:t>1</w:t>
      </w:r>
      <w:r w:rsidRPr="00165A2C">
        <w:rPr>
          <w:sz w:val="19"/>
          <w:szCs w:val="19"/>
          <w:lang w:val="nl-BE"/>
        </w:rPr>
        <w:t>), en met name op artikel 5, lid 1, onder b),</w:t>
      </w:r>
    </w:p>
    <w:p w:rsidR="00165A2C" w:rsidRPr="00165A2C" w:rsidRDefault="00165A2C" w:rsidP="00165A2C">
      <w:pPr>
        <w:pStyle w:val="Default"/>
        <w:rPr>
          <w:sz w:val="19"/>
          <w:szCs w:val="19"/>
          <w:lang w:val="nl-BE"/>
        </w:rPr>
      </w:pPr>
    </w:p>
    <w:p w:rsidR="00165A2C" w:rsidRPr="00165A2C" w:rsidRDefault="00165A2C" w:rsidP="00165A2C">
      <w:pPr>
        <w:pStyle w:val="Default"/>
        <w:spacing w:after="427"/>
        <w:rPr>
          <w:sz w:val="19"/>
          <w:szCs w:val="19"/>
          <w:lang w:val="nl-BE"/>
        </w:rPr>
      </w:pPr>
      <w:r w:rsidRPr="00165A2C">
        <w:rPr>
          <w:sz w:val="19"/>
          <w:szCs w:val="19"/>
          <w:lang w:val="nl-BE"/>
        </w:rPr>
        <w:t>Overwegende hetgeen volgt:</w:t>
      </w:r>
      <w:r w:rsidRPr="00165A2C">
        <w:rPr>
          <w:sz w:val="17"/>
          <w:szCs w:val="17"/>
          <w:lang w:val="nl-BE"/>
        </w:rPr>
        <w:t xml:space="preserve">(1) </w:t>
      </w:r>
      <w:r w:rsidRPr="00165A2C">
        <w:rPr>
          <w:sz w:val="19"/>
          <w:szCs w:val="19"/>
          <w:lang w:val="nl-BE"/>
        </w:rPr>
        <w:t>RIS dient te worden ontwikkeld en uitgevoerd op een geharmoniseerde, interoperabele en vrij toegankelijke manier.</w:t>
      </w:r>
    </w:p>
    <w:p w:rsidR="00165A2C" w:rsidRPr="00165A2C" w:rsidRDefault="00165A2C" w:rsidP="00165A2C">
      <w:pPr>
        <w:pStyle w:val="Default"/>
        <w:spacing w:after="427"/>
        <w:rPr>
          <w:sz w:val="19"/>
          <w:szCs w:val="19"/>
          <w:lang w:val="nl-BE"/>
        </w:rPr>
      </w:pPr>
      <w:r w:rsidRPr="00165A2C">
        <w:rPr>
          <w:sz w:val="17"/>
          <w:szCs w:val="17"/>
          <w:lang w:val="nl-BE"/>
        </w:rPr>
        <w:t xml:space="preserve">(2) </w:t>
      </w:r>
      <w:r w:rsidRPr="00165A2C">
        <w:rPr>
          <w:sz w:val="19"/>
          <w:szCs w:val="19"/>
          <w:lang w:val="nl-BE"/>
        </w:rPr>
        <w:t>De technische specificaties voor elektronische scheepsrapportering in de binnenvaart dienen te worden gedefinieerd.</w:t>
      </w:r>
    </w:p>
    <w:p w:rsidR="00165A2C" w:rsidRPr="00165A2C" w:rsidRDefault="00165A2C" w:rsidP="00165A2C">
      <w:pPr>
        <w:pStyle w:val="Default"/>
        <w:spacing w:after="427"/>
        <w:rPr>
          <w:sz w:val="19"/>
          <w:szCs w:val="19"/>
          <w:lang w:val="nl-BE"/>
        </w:rPr>
      </w:pPr>
      <w:r w:rsidRPr="00165A2C">
        <w:rPr>
          <w:sz w:val="17"/>
          <w:szCs w:val="17"/>
          <w:lang w:val="nl-BE"/>
        </w:rPr>
        <w:t xml:space="preserve">(3) </w:t>
      </w:r>
      <w:r w:rsidRPr="00165A2C">
        <w:rPr>
          <w:sz w:val="19"/>
          <w:szCs w:val="19"/>
          <w:lang w:val="nl-BE"/>
        </w:rPr>
        <w:t>De technische specificaties voor elektronische scheepsrapportering in de binnenvaart dienen gebaseerd te zijn op de technische principes die beschreven zijn in bijlage II bij de richtlijn.</w:t>
      </w:r>
    </w:p>
    <w:p w:rsidR="00165A2C" w:rsidRPr="00165A2C" w:rsidRDefault="00165A2C" w:rsidP="00165A2C">
      <w:pPr>
        <w:pStyle w:val="Default"/>
        <w:spacing w:after="427"/>
        <w:rPr>
          <w:sz w:val="19"/>
          <w:szCs w:val="19"/>
          <w:lang w:val="nl-BE"/>
        </w:rPr>
      </w:pPr>
      <w:r w:rsidRPr="00165A2C">
        <w:rPr>
          <w:sz w:val="17"/>
          <w:szCs w:val="17"/>
          <w:lang w:val="nl-BE"/>
        </w:rPr>
        <w:t xml:space="preserve">(4) </w:t>
      </w:r>
      <w:r w:rsidRPr="00165A2C">
        <w:rPr>
          <w:sz w:val="19"/>
          <w:szCs w:val="19"/>
          <w:lang w:val="nl-BE"/>
        </w:rPr>
        <w:t>De technische specificaties dienen de werkzaamheden in acht te nemen die door betreffende internationale organisaties zijn verricht. De samenhang met de verkeerbeheersdiensten van andere vervoerswijzen, in het bijzonder met het maritieme verkeersbeheer en de informatiediensten van maritiem scheepsverkeer, dient te worden gegarandeerd.</w:t>
      </w:r>
    </w:p>
    <w:p w:rsidR="00165A2C" w:rsidRPr="00165A2C" w:rsidRDefault="00165A2C" w:rsidP="00165A2C">
      <w:pPr>
        <w:pStyle w:val="Default"/>
        <w:spacing w:after="427"/>
        <w:rPr>
          <w:sz w:val="19"/>
          <w:szCs w:val="19"/>
          <w:lang w:val="nl-BE"/>
        </w:rPr>
      </w:pPr>
      <w:r w:rsidRPr="00165A2C">
        <w:rPr>
          <w:sz w:val="17"/>
          <w:szCs w:val="17"/>
          <w:lang w:val="nl-BE"/>
        </w:rPr>
        <w:t xml:space="preserve">(5) </w:t>
      </w:r>
      <w:r w:rsidRPr="00165A2C">
        <w:rPr>
          <w:sz w:val="19"/>
          <w:szCs w:val="19"/>
          <w:lang w:val="nl-BE"/>
        </w:rPr>
        <w:t>Zij dienen ook de werkzaamheden in acht te nemen die zijn uitgevoerd door de deskundigengroep op het gebied van elektronische scheepsrapportering, die bestaat uit vertegenwoordigers van de instanties van de lidstaten die verantwoordelijk zijn voor de uitvoering van elektronische scheepsrapportering en officiële leden van andere overheidsinstanties en waarnemers uit de sector.</w:t>
      </w:r>
    </w:p>
    <w:p w:rsidR="00165A2C" w:rsidRPr="00165A2C" w:rsidRDefault="00165A2C" w:rsidP="00165A2C">
      <w:pPr>
        <w:pStyle w:val="Default"/>
        <w:spacing w:after="427"/>
        <w:rPr>
          <w:sz w:val="19"/>
          <w:szCs w:val="19"/>
          <w:lang w:val="nl-BE"/>
        </w:rPr>
      </w:pPr>
      <w:r w:rsidRPr="00165A2C">
        <w:rPr>
          <w:sz w:val="17"/>
          <w:szCs w:val="17"/>
          <w:lang w:val="nl-BE"/>
        </w:rPr>
        <w:t xml:space="preserve">(6) </w:t>
      </w:r>
      <w:r w:rsidRPr="00165A2C">
        <w:rPr>
          <w:sz w:val="19"/>
          <w:szCs w:val="19"/>
          <w:lang w:val="nl-BE"/>
        </w:rPr>
        <w:t>De technische specificaties dienen overeen te stemmen met de huidige stand van de techniek. Ervaring die opgedaan werd door de toepassing van Richtlijn 2005/44/EG en toekomstige technische vooruitgang kunnen het noodzakelijk maken om de technische specificaties te wijzigen. Wijzigingen aan de technische specificaties dienen de werkzaamheden die uitgevoerd zijn door de deskundigengroep op het gebied van elektronische scheepsrapportering voldoende in acht te nemen.</w:t>
      </w:r>
    </w:p>
    <w:p w:rsidR="00165A2C" w:rsidRPr="00165A2C" w:rsidRDefault="00165A2C" w:rsidP="00165A2C">
      <w:pPr>
        <w:pStyle w:val="Default"/>
        <w:rPr>
          <w:sz w:val="17"/>
          <w:szCs w:val="17"/>
          <w:lang w:val="nl-BE"/>
        </w:rPr>
      </w:pPr>
      <w:r w:rsidRPr="00165A2C">
        <w:rPr>
          <w:sz w:val="17"/>
          <w:szCs w:val="17"/>
          <w:lang w:val="nl-BE"/>
        </w:rPr>
        <w:t xml:space="preserve">(7) </w:t>
      </w:r>
      <w:r w:rsidRPr="00165A2C">
        <w:rPr>
          <w:sz w:val="19"/>
          <w:szCs w:val="19"/>
          <w:lang w:val="nl-BE"/>
        </w:rPr>
        <w:t xml:space="preserve">De maatregelen die in deze Verordening worden gegeven, stemmen overeen met de opvattingen van het comité dat is opgericht als gevolg van artikel 7 van Richtlijn 91/672/EEG van de Raad van 16 december 1991 inzake de wederzijdse erkenning van de nationale vaarbewijzen voor het besturen van schepen in het goederen- en personenvervoer over de binnenwateren </w:t>
      </w:r>
      <w:r w:rsidRPr="00165A2C">
        <w:rPr>
          <w:sz w:val="17"/>
          <w:szCs w:val="17"/>
          <w:lang w:val="nl-BE"/>
        </w:rPr>
        <w:t>(</w:t>
      </w:r>
      <w:r w:rsidRPr="00165A2C">
        <w:rPr>
          <w:sz w:val="10"/>
          <w:szCs w:val="10"/>
          <w:lang w:val="nl-BE"/>
        </w:rPr>
        <w:t>2</w:t>
      </w:r>
      <w:r w:rsidRPr="00165A2C">
        <w:rPr>
          <w:sz w:val="17"/>
          <w:szCs w:val="17"/>
          <w:lang w:val="nl-BE"/>
        </w:rPr>
        <w:t xml:space="preserve">) </w:t>
      </w:r>
    </w:p>
    <w:p w:rsidR="00165A2C" w:rsidRPr="00165A2C" w:rsidRDefault="00165A2C" w:rsidP="00165A2C">
      <w:pPr>
        <w:pStyle w:val="Default"/>
        <w:rPr>
          <w:sz w:val="19"/>
          <w:szCs w:val="19"/>
          <w:lang w:val="nl-BE"/>
        </w:rPr>
      </w:pPr>
      <w:r w:rsidRPr="00165A2C">
        <w:rPr>
          <w:sz w:val="17"/>
          <w:szCs w:val="17"/>
          <w:lang w:val="nl-BE"/>
        </w:rPr>
        <w:t xml:space="preserve">PB L 373 van 31.12.1991, blz. 29. </w:t>
      </w:r>
      <w:r w:rsidRPr="00165A2C">
        <w:rPr>
          <w:sz w:val="19"/>
          <w:szCs w:val="19"/>
          <w:lang w:val="nl-BE"/>
        </w:rPr>
        <w:t>(</w:t>
      </w:r>
      <w:r w:rsidRPr="00165A2C">
        <w:rPr>
          <w:sz w:val="11"/>
          <w:szCs w:val="11"/>
          <w:lang w:val="nl-BE"/>
        </w:rPr>
        <w:t>2</w:t>
      </w:r>
      <w:r w:rsidRPr="00165A2C">
        <w:rPr>
          <w:sz w:val="19"/>
          <w:szCs w:val="19"/>
          <w:lang w:val="nl-BE"/>
        </w:rPr>
        <w:t>),</w:t>
      </w:r>
    </w:p>
    <w:p w:rsidR="00165A2C" w:rsidRPr="00165A2C" w:rsidRDefault="00165A2C" w:rsidP="00165A2C">
      <w:pPr>
        <w:pStyle w:val="Default"/>
        <w:rPr>
          <w:sz w:val="19"/>
          <w:szCs w:val="19"/>
          <w:lang w:val="nl-BE"/>
        </w:rPr>
      </w:pPr>
    </w:p>
    <w:p w:rsidR="00165A2C" w:rsidRPr="00165A2C" w:rsidRDefault="00165A2C" w:rsidP="00165A2C">
      <w:pPr>
        <w:pStyle w:val="Default"/>
        <w:rPr>
          <w:sz w:val="17"/>
          <w:szCs w:val="17"/>
          <w:lang w:val="nl-BE"/>
        </w:rPr>
      </w:pPr>
      <w:r w:rsidRPr="00165A2C">
        <w:rPr>
          <w:sz w:val="17"/>
          <w:szCs w:val="17"/>
          <w:lang w:val="nl-BE"/>
        </w:rPr>
        <w:t>HEEFT DE VOLGENDE VERORDENING VASTGESTELD:</w:t>
      </w:r>
    </w:p>
    <w:p w:rsidR="00165A2C" w:rsidRPr="00165A2C" w:rsidRDefault="00165A2C" w:rsidP="00165A2C">
      <w:pPr>
        <w:pStyle w:val="Default"/>
        <w:rPr>
          <w:rFonts w:cstheme="minorBidi"/>
          <w:color w:val="auto"/>
          <w:lang w:val="nl-BE"/>
        </w:rPr>
      </w:pPr>
    </w:p>
    <w:p w:rsidR="00165A2C" w:rsidRPr="00165A2C" w:rsidRDefault="00165A2C" w:rsidP="00165A2C">
      <w:pPr>
        <w:pStyle w:val="Default"/>
        <w:rPr>
          <w:rFonts w:cstheme="minorBidi"/>
          <w:color w:val="auto"/>
          <w:lang w:val="nl-BE"/>
        </w:rPr>
      </w:pPr>
      <w:r w:rsidRPr="00165A2C">
        <w:rPr>
          <w:rFonts w:cstheme="minorBidi"/>
          <w:color w:val="auto"/>
          <w:lang w:val="nl-BE"/>
        </w:rPr>
        <w:t xml:space="preserve"> </w:t>
      </w:r>
    </w:p>
    <w:p w:rsidR="00165A2C" w:rsidRPr="00165A2C" w:rsidRDefault="00165A2C" w:rsidP="00165A2C">
      <w:pPr>
        <w:pStyle w:val="Default"/>
        <w:rPr>
          <w:color w:val="auto"/>
          <w:sz w:val="19"/>
          <w:szCs w:val="19"/>
          <w:lang w:val="nl-BE"/>
        </w:rPr>
      </w:pPr>
      <w:r w:rsidRPr="00165A2C">
        <w:rPr>
          <w:i/>
          <w:iCs/>
          <w:color w:val="auto"/>
          <w:sz w:val="19"/>
          <w:szCs w:val="19"/>
          <w:lang w:val="nl-BE"/>
        </w:rPr>
        <w:t>Artikel 1</w:t>
      </w:r>
    </w:p>
    <w:p w:rsidR="00165A2C" w:rsidRPr="00165A2C" w:rsidRDefault="00165A2C" w:rsidP="00165A2C">
      <w:pPr>
        <w:pStyle w:val="Default"/>
        <w:rPr>
          <w:color w:val="auto"/>
          <w:sz w:val="19"/>
          <w:szCs w:val="19"/>
          <w:lang w:val="nl-BE"/>
        </w:rPr>
      </w:pPr>
      <w:r w:rsidRPr="00165A2C">
        <w:rPr>
          <w:color w:val="auto"/>
          <w:sz w:val="19"/>
          <w:szCs w:val="19"/>
          <w:lang w:val="nl-BE"/>
        </w:rPr>
        <w:t xml:space="preserve">De technische specificaties voor elektronische scheepsrapportering in de binnenvaart worden gedefinieerd in de bijlage.L 57/2 </w:t>
      </w:r>
      <w:r w:rsidRPr="00165A2C">
        <w:rPr>
          <w:color w:val="auto"/>
          <w:sz w:val="17"/>
          <w:szCs w:val="17"/>
          <w:lang w:val="nl-BE"/>
        </w:rPr>
        <w:t xml:space="preserve">NL </w:t>
      </w:r>
      <w:r w:rsidRPr="00165A2C">
        <w:rPr>
          <w:color w:val="auto"/>
          <w:sz w:val="19"/>
          <w:szCs w:val="19"/>
          <w:lang w:val="nl-BE"/>
        </w:rPr>
        <w:t xml:space="preserve">Publicatieblad van de Europese Unie 6.3.2010 </w:t>
      </w:r>
    </w:p>
    <w:p w:rsidR="00165A2C" w:rsidRPr="00165A2C" w:rsidRDefault="00165A2C" w:rsidP="00165A2C">
      <w:pPr>
        <w:pStyle w:val="Default"/>
        <w:pageBreakBefore/>
        <w:rPr>
          <w:color w:val="auto"/>
          <w:sz w:val="19"/>
          <w:szCs w:val="19"/>
          <w:lang w:val="nl-BE"/>
        </w:rPr>
      </w:pPr>
    </w:p>
    <w:p w:rsidR="00165A2C" w:rsidRPr="00165A2C" w:rsidRDefault="00165A2C" w:rsidP="00165A2C">
      <w:pPr>
        <w:pStyle w:val="Default"/>
        <w:rPr>
          <w:color w:val="auto"/>
          <w:sz w:val="19"/>
          <w:szCs w:val="19"/>
          <w:lang w:val="nl-BE"/>
        </w:rPr>
      </w:pPr>
      <w:r w:rsidRPr="00165A2C">
        <w:rPr>
          <w:i/>
          <w:iCs/>
          <w:color w:val="auto"/>
          <w:sz w:val="19"/>
          <w:szCs w:val="19"/>
          <w:lang w:val="nl-BE"/>
        </w:rPr>
        <w:t>Artikel 2</w:t>
      </w:r>
    </w:p>
    <w:p w:rsidR="00165A2C" w:rsidRPr="00165A2C" w:rsidRDefault="00165A2C" w:rsidP="00165A2C">
      <w:pPr>
        <w:pStyle w:val="Default"/>
        <w:rPr>
          <w:color w:val="auto"/>
          <w:sz w:val="19"/>
          <w:szCs w:val="19"/>
          <w:lang w:val="nl-BE"/>
        </w:rPr>
      </w:pPr>
      <w:r w:rsidRPr="00165A2C">
        <w:rPr>
          <w:color w:val="auto"/>
          <w:sz w:val="19"/>
          <w:szCs w:val="19"/>
          <w:lang w:val="nl-BE"/>
        </w:rPr>
        <w:t xml:space="preserve">Deze verordening treedt in werking op de dag volgende op die van haar bekendmaking in het </w:t>
      </w:r>
      <w:r w:rsidRPr="00165A2C">
        <w:rPr>
          <w:i/>
          <w:iCs/>
          <w:color w:val="auto"/>
          <w:sz w:val="19"/>
          <w:szCs w:val="19"/>
          <w:lang w:val="nl-BE"/>
        </w:rPr>
        <w:t>Publicatieblad van de Europese Unie</w:t>
      </w:r>
      <w:r w:rsidRPr="00165A2C">
        <w:rPr>
          <w:color w:val="auto"/>
          <w:sz w:val="19"/>
          <w:szCs w:val="19"/>
          <w:lang w:val="nl-BE"/>
        </w:rPr>
        <w:t>.</w:t>
      </w:r>
    </w:p>
    <w:p w:rsidR="00165A2C" w:rsidRPr="00165A2C" w:rsidRDefault="00165A2C" w:rsidP="00165A2C">
      <w:pPr>
        <w:pStyle w:val="Default"/>
        <w:rPr>
          <w:rFonts w:cstheme="minorBidi"/>
          <w:color w:val="auto"/>
          <w:lang w:val="nl-BE"/>
        </w:rPr>
      </w:pPr>
    </w:p>
    <w:p w:rsidR="00165A2C" w:rsidRPr="00165A2C" w:rsidRDefault="00165A2C" w:rsidP="00165A2C">
      <w:pPr>
        <w:pStyle w:val="Default"/>
        <w:rPr>
          <w:rFonts w:cstheme="minorBidi"/>
          <w:color w:val="auto"/>
          <w:sz w:val="19"/>
          <w:szCs w:val="19"/>
          <w:lang w:val="nl-BE"/>
        </w:rPr>
      </w:pPr>
      <w:r w:rsidRPr="00165A2C">
        <w:rPr>
          <w:rFonts w:cstheme="minorBidi"/>
          <w:color w:val="auto"/>
          <w:sz w:val="19"/>
          <w:szCs w:val="19"/>
          <w:lang w:val="nl-BE"/>
        </w:rPr>
        <w:t>Deze verordening is verbindend in al haar onderdelen en is rechtstreeks toepasselijk in elke lidstaat.</w:t>
      </w:r>
    </w:p>
    <w:p w:rsidR="00165A2C" w:rsidRPr="00165A2C" w:rsidRDefault="00165A2C" w:rsidP="00165A2C">
      <w:pPr>
        <w:pStyle w:val="Default"/>
        <w:rPr>
          <w:rFonts w:cstheme="minorBidi"/>
          <w:color w:val="auto"/>
          <w:sz w:val="19"/>
          <w:szCs w:val="19"/>
          <w:lang w:val="nl-BE"/>
        </w:rPr>
      </w:pPr>
    </w:p>
    <w:p w:rsidR="00165A2C" w:rsidRPr="00165A2C" w:rsidRDefault="00165A2C" w:rsidP="00165A2C">
      <w:pPr>
        <w:pStyle w:val="Default"/>
        <w:rPr>
          <w:rFonts w:cstheme="minorBidi"/>
          <w:color w:val="auto"/>
          <w:sz w:val="19"/>
          <w:szCs w:val="19"/>
          <w:lang w:val="nl-BE"/>
        </w:rPr>
      </w:pPr>
    </w:p>
    <w:p w:rsidR="00165A2C" w:rsidRPr="00165A2C" w:rsidRDefault="00165A2C" w:rsidP="00165A2C">
      <w:pPr>
        <w:pStyle w:val="Default"/>
        <w:rPr>
          <w:rFonts w:cstheme="minorBidi"/>
          <w:color w:val="auto"/>
          <w:sz w:val="19"/>
          <w:szCs w:val="19"/>
          <w:lang w:val="nl-BE"/>
        </w:rPr>
      </w:pPr>
      <w:r w:rsidRPr="00165A2C">
        <w:rPr>
          <w:rFonts w:cstheme="minorBidi"/>
          <w:color w:val="auto"/>
          <w:sz w:val="19"/>
          <w:szCs w:val="19"/>
          <w:lang w:val="nl-BE"/>
        </w:rPr>
        <w:t>Gedaan te Brussel, 25 januari 2010.</w:t>
      </w:r>
    </w:p>
    <w:p w:rsidR="00165A2C" w:rsidRPr="00165A2C" w:rsidRDefault="00165A2C" w:rsidP="00165A2C">
      <w:pPr>
        <w:pStyle w:val="Default"/>
        <w:rPr>
          <w:rFonts w:cstheme="minorBidi"/>
          <w:color w:val="auto"/>
          <w:sz w:val="19"/>
          <w:szCs w:val="19"/>
          <w:lang w:val="nl-BE"/>
        </w:rPr>
      </w:pPr>
    </w:p>
    <w:p w:rsidR="00165A2C" w:rsidRPr="00165A2C" w:rsidRDefault="00165A2C" w:rsidP="00165A2C">
      <w:pPr>
        <w:pStyle w:val="Default"/>
        <w:rPr>
          <w:color w:val="auto"/>
          <w:sz w:val="19"/>
          <w:szCs w:val="19"/>
          <w:lang w:val="nl-BE"/>
        </w:rPr>
      </w:pPr>
      <w:r w:rsidRPr="00165A2C">
        <w:rPr>
          <w:i/>
          <w:iCs/>
          <w:color w:val="auto"/>
          <w:sz w:val="19"/>
          <w:szCs w:val="19"/>
          <w:lang w:val="nl-BE"/>
        </w:rPr>
        <w:t>Voor de Commissie</w:t>
      </w:r>
    </w:p>
    <w:p w:rsidR="00165A2C" w:rsidRPr="00165A2C" w:rsidRDefault="00165A2C" w:rsidP="00165A2C">
      <w:pPr>
        <w:pStyle w:val="Default"/>
        <w:rPr>
          <w:color w:val="auto"/>
          <w:sz w:val="19"/>
          <w:szCs w:val="19"/>
          <w:lang w:val="nl-BE"/>
        </w:rPr>
      </w:pPr>
      <w:r w:rsidRPr="00165A2C">
        <w:rPr>
          <w:i/>
          <w:iCs/>
          <w:color w:val="auto"/>
          <w:sz w:val="19"/>
          <w:szCs w:val="19"/>
          <w:lang w:val="nl-BE"/>
        </w:rPr>
        <w:t>De voorzitter</w:t>
      </w:r>
    </w:p>
    <w:p w:rsidR="00165A2C" w:rsidRPr="00165A2C" w:rsidRDefault="00165A2C" w:rsidP="00165A2C">
      <w:pPr>
        <w:pStyle w:val="Default"/>
        <w:rPr>
          <w:color w:val="auto"/>
          <w:sz w:val="19"/>
          <w:szCs w:val="19"/>
          <w:lang w:val="nl-BE"/>
        </w:rPr>
      </w:pPr>
      <w:r w:rsidRPr="00165A2C">
        <w:rPr>
          <w:color w:val="auto"/>
          <w:sz w:val="17"/>
          <w:szCs w:val="17"/>
          <w:lang w:val="nl-BE"/>
        </w:rPr>
        <w:t xml:space="preserve">José Manuel BARROSO.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Pr="00165A2C">
        <w:rPr>
          <w:color w:val="auto"/>
          <w:sz w:val="19"/>
          <w:szCs w:val="19"/>
          <w:lang w:val="nl-BE"/>
        </w:rPr>
        <w:t xml:space="preserve">6.3.2010 </w:t>
      </w:r>
      <w:r w:rsidRPr="00165A2C">
        <w:rPr>
          <w:color w:val="auto"/>
          <w:sz w:val="17"/>
          <w:szCs w:val="17"/>
          <w:lang w:val="nl-BE"/>
        </w:rPr>
        <w:t xml:space="preserve">NL </w:t>
      </w:r>
      <w:r w:rsidRPr="00165A2C">
        <w:rPr>
          <w:color w:val="auto"/>
          <w:sz w:val="19"/>
          <w:szCs w:val="19"/>
          <w:lang w:val="nl-BE"/>
        </w:rPr>
        <w:t xml:space="preserve">Publicatieblad van de Europese Unie L 57/3 </w:t>
      </w:r>
    </w:p>
    <w:p w:rsidR="00165A2C" w:rsidRPr="00165A2C" w:rsidRDefault="00165A2C" w:rsidP="00165A2C">
      <w:pPr>
        <w:pStyle w:val="Default"/>
        <w:pageBreakBefore/>
        <w:rPr>
          <w:color w:val="auto"/>
          <w:sz w:val="19"/>
          <w:szCs w:val="19"/>
          <w:lang w:val="nl-BE"/>
        </w:rPr>
      </w:pPr>
    </w:p>
    <w:p w:rsidR="00165A2C" w:rsidRPr="00165A2C" w:rsidRDefault="00165A2C" w:rsidP="00165A2C">
      <w:pPr>
        <w:pStyle w:val="Default"/>
        <w:rPr>
          <w:color w:val="auto"/>
          <w:sz w:val="19"/>
          <w:szCs w:val="19"/>
          <w:lang w:val="nl-BE"/>
        </w:rPr>
      </w:pPr>
    </w:p>
    <w:p w:rsidR="00165A2C" w:rsidRPr="00165A2C" w:rsidRDefault="00165A2C" w:rsidP="00165A2C">
      <w:pPr>
        <w:pStyle w:val="Default"/>
        <w:rPr>
          <w:color w:val="auto"/>
          <w:sz w:val="19"/>
          <w:szCs w:val="19"/>
          <w:lang w:val="nl-BE"/>
        </w:rPr>
      </w:pPr>
    </w:p>
    <w:p w:rsidR="00165A2C" w:rsidRPr="00165A2C" w:rsidRDefault="00165A2C" w:rsidP="00165A2C">
      <w:pPr>
        <w:pStyle w:val="Default"/>
        <w:rPr>
          <w:color w:val="auto"/>
          <w:sz w:val="17"/>
          <w:szCs w:val="17"/>
          <w:lang w:val="nl-BE"/>
        </w:rPr>
      </w:pPr>
      <w:r w:rsidRPr="00165A2C">
        <w:rPr>
          <w:i/>
          <w:iCs/>
          <w:color w:val="auto"/>
          <w:sz w:val="17"/>
          <w:szCs w:val="17"/>
          <w:lang w:val="nl-BE"/>
        </w:rPr>
        <w:t>BIJLAGE</w:t>
      </w:r>
    </w:p>
    <w:p w:rsidR="00165A2C" w:rsidRPr="00165A2C" w:rsidRDefault="00165A2C" w:rsidP="00165A2C">
      <w:pPr>
        <w:pStyle w:val="Default"/>
        <w:rPr>
          <w:color w:val="auto"/>
          <w:sz w:val="17"/>
          <w:szCs w:val="17"/>
          <w:lang w:val="nl-BE"/>
        </w:rPr>
      </w:pPr>
    </w:p>
    <w:p w:rsidR="00165A2C" w:rsidRPr="00165A2C" w:rsidRDefault="00165A2C" w:rsidP="00165A2C">
      <w:pPr>
        <w:pStyle w:val="Default"/>
        <w:rPr>
          <w:color w:val="auto"/>
          <w:sz w:val="17"/>
          <w:szCs w:val="17"/>
          <w:lang w:val="nl-BE"/>
        </w:rPr>
      </w:pPr>
    </w:p>
    <w:p w:rsidR="00165A2C" w:rsidRPr="00165A2C" w:rsidRDefault="00165A2C" w:rsidP="00165A2C">
      <w:pPr>
        <w:pStyle w:val="Default"/>
        <w:rPr>
          <w:color w:val="auto"/>
          <w:sz w:val="17"/>
          <w:szCs w:val="17"/>
          <w:lang w:val="nl-BE"/>
        </w:rPr>
      </w:pPr>
      <w:r w:rsidRPr="00165A2C">
        <w:rPr>
          <w:color w:val="auto"/>
          <w:sz w:val="17"/>
          <w:szCs w:val="17"/>
          <w:lang w:val="nl-BE"/>
        </w:rPr>
        <w:t>INHOUDSOPGAVE</w:t>
      </w:r>
    </w:p>
    <w:p w:rsidR="00165A2C" w:rsidRPr="00165A2C" w:rsidRDefault="00165A2C" w:rsidP="00165A2C">
      <w:pPr>
        <w:pStyle w:val="Default"/>
        <w:rPr>
          <w:color w:val="auto"/>
          <w:sz w:val="17"/>
          <w:szCs w:val="17"/>
          <w:lang w:val="nl-BE"/>
        </w:rPr>
      </w:pPr>
      <w:r w:rsidRPr="00165A2C">
        <w:rPr>
          <w:color w:val="auto"/>
          <w:sz w:val="17"/>
          <w:szCs w:val="17"/>
          <w:lang w:val="nl-BE"/>
        </w:rPr>
        <w:t>1.Deel 1: Conventie voor de handleiding voor de toepassing van berichten ..</w:t>
      </w:r>
      <w:r w:rsidRPr="00165A2C">
        <w:rPr>
          <w:sz w:val="17"/>
          <w:szCs w:val="17"/>
          <w:lang w:val="nl-BE"/>
        </w:rPr>
        <w:t>4</w:t>
      </w:r>
    </w:p>
    <w:p w:rsidR="00165A2C" w:rsidRPr="00165A2C" w:rsidRDefault="00165A2C" w:rsidP="00165A2C">
      <w:pPr>
        <w:pStyle w:val="Default"/>
        <w:rPr>
          <w:color w:val="auto"/>
          <w:sz w:val="17"/>
          <w:szCs w:val="17"/>
          <w:lang w:val="nl-BE"/>
        </w:rPr>
      </w:pPr>
      <w:r w:rsidRPr="00165A2C">
        <w:rPr>
          <w:color w:val="auto"/>
          <w:sz w:val="17"/>
          <w:szCs w:val="17"/>
          <w:lang w:val="nl-BE"/>
        </w:rPr>
        <w:t>1.1.Inleiding ..</w:t>
      </w:r>
      <w:r w:rsidRPr="00165A2C">
        <w:rPr>
          <w:sz w:val="17"/>
          <w:szCs w:val="17"/>
          <w:lang w:val="nl-BE"/>
        </w:rPr>
        <w:t>4</w:t>
      </w:r>
    </w:p>
    <w:p w:rsidR="00165A2C" w:rsidRPr="00165A2C" w:rsidRDefault="00165A2C" w:rsidP="00165A2C">
      <w:pPr>
        <w:pStyle w:val="Default"/>
        <w:rPr>
          <w:color w:val="auto"/>
          <w:sz w:val="17"/>
          <w:szCs w:val="17"/>
          <w:lang w:val="nl-BE"/>
        </w:rPr>
      </w:pPr>
      <w:r w:rsidRPr="00165A2C">
        <w:rPr>
          <w:color w:val="auto"/>
          <w:sz w:val="17"/>
          <w:szCs w:val="17"/>
          <w:lang w:val="nl-BE"/>
        </w:rPr>
        <w:t>1.2.Structuur UN/EDIFACT-bericht ..</w:t>
      </w:r>
      <w:r w:rsidRPr="00165A2C">
        <w:rPr>
          <w:sz w:val="17"/>
          <w:szCs w:val="17"/>
          <w:lang w:val="nl-BE"/>
        </w:rPr>
        <w:t>5</w:t>
      </w:r>
    </w:p>
    <w:p w:rsidR="00165A2C" w:rsidRPr="00165A2C" w:rsidRDefault="00165A2C" w:rsidP="00165A2C">
      <w:pPr>
        <w:pStyle w:val="Default"/>
        <w:rPr>
          <w:color w:val="auto"/>
          <w:sz w:val="17"/>
          <w:szCs w:val="17"/>
          <w:lang w:val="nl-BE"/>
        </w:rPr>
      </w:pPr>
      <w:r w:rsidRPr="00165A2C">
        <w:rPr>
          <w:color w:val="auto"/>
          <w:sz w:val="17"/>
          <w:szCs w:val="17"/>
          <w:lang w:val="nl-BE"/>
        </w:rPr>
        <w:t>1.2.1.Beschrijving van de segmenten en data-elementen ..</w:t>
      </w:r>
      <w:r w:rsidRPr="00165A2C">
        <w:rPr>
          <w:sz w:val="17"/>
          <w:szCs w:val="17"/>
          <w:lang w:val="nl-BE"/>
        </w:rPr>
        <w:t>5</w:t>
      </w:r>
    </w:p>
    <w:p w:rsidR="00165A2C" w:rsidRPr="00165A2C" w:rsidRDefault="00165A2C" w:rsidP="00165A2C">
      <w:pPr>
        <w:pStyle w:val="Default"/>
        <w:rPr>
          <w:color w:val="auto"/>
          <w:sz w:val="17"/>
          <w:szCs w:val="17"/>
          <w:lang w:val="nl-BE"/>
        </w:rPr>
      </w:pPr>
      <w:r w:rsidRPr="00165A2C">
        <w:rPr>
          <w:color w:val="auto"/>
          <w:sz w:val="17"/>
          <w:szCs w:val="17"/>
          <w:lang w:val="nl-BE"/>
        </w:rPr>
        <w:t>1.2.2.Syntaxis ..</w:t>
      </w:r>
      <w:r w:rsidRPr="00165A2C">
        <w:rPr>
          <w:sz w:val="17"/>
          <w:szCs w:val="17"/>
          <w:lang w:val="nl-BE"/>
        </w:rPr>
        <w:t>6</w:t>
      </w:r>
    </w:p>
    <w:p w:rsidR="00165A2C" w:rsidRPr="00165A2C" w:rsidRDefault="00165A2C" w:rsidP="00165A2C">
      <w:pPr>
        <w:pStyle w:val="Default"/>
        <w:rPr>
          <w:color w:val="auto"/>
          <w:sz w:val="17"/>
          <w:szCs w:val="17"/>
          <w:lang w:val="nl-BE"/>
        </w:rPr>
      </w:pPr>
      <w:r w:rsidRPr="00165A2C">
        <w:rPr>
          <w:color w:val="auto"/>
          <w:sz w:val="17"/>
          <w:szCs w:val="17"/>
          <w:lang w:val="nl-BE"/>
        </w:rPr>
        <w:t>1.2.2.1.Tekenreeksen ..</w:t>
      </w:r>
      <w:r w:rsidRPr="00165A2C">
        <w:rPr>
          <w:sz w:val="17"/>
          <w:szCs w:val="17"/>
          <w:lang w:val="nl-BE"/>
        </w:rPr>
        <w:t>6</w:t>
      </w:r>
    </w:p>
    <w:p w:rsidR="00165A2C" w:rsidRPr="00165A2C" w:rsidRDefault="00165A2C" w:rsidP="00165A2C">
      <w:pPr>
        <w:pStyle w:val="Default"/>
        <w:rPr>
          <w:color w:val="auto"/>
          <w:sz w:val="17"/>
          <w:szCs w:val="17"/>
          <w:lang w:val="nl-BE"/>
        </w:rPr>
      </w:pPr>
      <w:r w:rsidRPr="00165A2C">
        <w:rPr>
          <w:color w:val="auto"/>
          <w:sz w:val="17"/>
          <w:szCs w:val="17"/>
          <w:lang w:val="nl-BE"/>
        </w:rPr>
        <w:t>1.2.2.2.Uitwisselingsstructuren ..</w:t>
      </w:r>
      <w:r w:rsidRPr="00165A2C">
        <w:rPr>
          <w:sz w:val="17"/>
          <w:szCs w:val="17"/>
          <w:lang w:val="nl-BE"/>
        </w:rPr>
        <w:t>6</w:t>
      </w:r>
    </w:p>
    <w:p w:rsidR="00165A2C" w:rsidRPr="00165A2C" w:rsidRDefault="00165A2C" w:rsidP="00165A2C">
      <w:pPr>
        <w:pStyle w:val="Default"/>
        <w:rPr>
          <w:color w:val="auto"/>
          <w:sz w:val="17"/>
          <w:szCs w:val="17"/>
          <w:lang w:val="nl-BE"/>
        </w:rPr>
      </w:pPr>
      <w:r w:rsidRPr="00165A2C">
        <w:rPr>
          <w:color w:val="auto"/>
          <w:sz w:val="17"/>
          <w:szCs w:val="17"/>
          <w:lang w:val="nl-BE"/>
        </w:rPr>
        <w:t>1.2.2.3.Uitwisseling ..</w:t>
      </w:r>
      <w:r w:rsidRPr="00165A2C">
        <w:rPr>
          <w:sz w:val="17"/>
          <w:szCs w:val="17"/>
          <w:lang w:val="nl-BE"/>
        </w:rPr>
        <w:t>7</w:t>
      </w:r>
    </w:p>
    <w:p w:rsidR="00165A2C" w:rsidRPr="00165A2C" w:rsidRDefault="00165A2C" w:rsidP="00165A2C">
      <w:pPr>
        <w:pStyle w:val="Default"/>
        <w:rPr>
          <w:color w:val="auto"/>
          <w:sz w:val="17"/>
          <w:szCs w:val="17"/>
          <w:lang w:val="nl-BE"/>
        </w:rPr>
      </w:pPr>
      <w:r w:rsidRPr="00165A2C">
        <w:rPr>
          <w:color w:val="auto"/>
          <w:sz w:val="17"/>
          <w:szCs w:val="17"/>
          <w:lang w:val="nl-BE"/>
        </w:rPr>
        <w:t>1.2.2.4.Volgorde van segmenten en groepen van segmenten binnen een bericht ..</w:t>
      </w:r>
      <w:r w:rsidRPr="00165A2C">
        <w:rPr>
          <w:sz w:val="17"/>
          <w:szCs w:val="17"/>
          <w:lang w:val="nl-BE"/>
        </w:rPr>
        <w:t>7</w:t>
      </w:r>
    </w:p>
    <w:p w:rsidR="00165A2C" w:rsidRPr="00165A2C" w:rsidRDefault="00165A2C" w:rsidP="00165A2C">
      <w:pPr>
        <w:pStyle w:val="Default"/>
        <w:rPr>
          <w:color w:val="auto"/>
          <w:sz w:val="17"/>
          <w:szCs w:val="17"/>
          <w:lang w:val="nl-BE"/>
        </w:rPr>
      </w:pPr>
      <w:r w:rsidRPr="00165A2C">
        <w:rPr>
          <w:color w:val="auto"/>
          <w:sz w:val="17"/>
          <w:szCs w:val="17"/>
          <w:lang w:val="nl-BE"/>
        </w:rPr>
        <w:t>1.2.2.5.Segmentstructuur ..</w:t>
      </w:r>
      <w:r w:rsidRPr="00165A2C">
        <w:rPr>
          <w:sz w:val="17"/>
          <w:szCs w:val="17"/>
          <w:lang w:val="nl-BE"/>
        </w:rPr>
        <w:t>7</w:t>
      </w:r>
    </w:p>
    <w:p w:rsidR="00165A2C" w:rsidRPr="00165A2C" w:rsidRDefault="00165A2C" w:rsidP="00165A2C">
      <w:pPr>
        <w:pStyle w:val="Default"/>
        <w:rPr>
          <w:color w:val="auto"/>
          <w:sz w:val="17"/>
          <w:szCs w:val="17"/>
          <w:lang w:val="nl-BE"/>
        </w:rPr>
      </w:pPr>
      <w:r w:rsidRPr="00165A2C">
        <w:rPr>
          <w:color w:val="auto"/>
          <w:sz w:val="17"/>
          <w:szCs w:val="17"/>
          <w:lang w:val="nl-BE"/>
        </w:rPr>
        <w:t>1.2.2.6.Structuur van data-elementen ..</w:t>
      </w:r>
      <w:r w:rsidRPr="00165A2C">
        <w:rPr>
          <w:sz w:val="17"/>
          <w:szCs w:val="17"/>
          <w:lang w:val="nl-BE"/>
        </w:rPr>
        <w:t>7</w:t>
      </w:r>
    </w:p>
    <w:p w:rsidR="00165A2C" w:rsidRPr="00165A2C" w:rsidRDefault="00165A2C" w:rsidP="00165A2C">
      <w:pPr>
        <w:pStyle w:val="Default"/>
        <w:rPr>
          <w:color w:val="auto"/>
          <w:sz w:val="17"/>
          <w:szCs w:val="17"/>
          <w:lang w:val="nl-BE"/>
        </w:rPr>
      </w:pPr>
      <w:r w:rsidRPr="00165A2C">
        <w:rPr>
          <w:color w:val="auto"/>
          <w:sz w:val="17"/>
          <w:szCs w:val="17"/>
          <w:lang w:val="nl-BE"/>
        </w:rPr>
        <w:t>1.2.2.7.Comprimeren ..</w:t>
      </w:r>
      <w:r w:rsidRPr="00165A2C">
        <w:rPr>
          <w:sz w:val="17"/>
          <w:szCs w:val="17"/>
          <w:lang w:val="nl-BE"/>
        </w:rPr>
        <w:t>8</w:t>
      </w:r>
    </w:p>
    <w:p w:rsidR="00165A2C" w:rsidRPr="00165A2C" w:rsidRDefault="00165A2C" w:rsidP="00165A2C">
      <w:pPr>
        <w:pStyle w:val="Default"/>
        <w:rPr>
          <w:color w:val="auto"/>
          <w:sz w:val="17"/>
          <w:szCs w:val="17"/>
          <w:lang w:val="nl-BE"/>
        </w:rPr>
      </w:pPr>
      <w:r w:rsidRPr="00165A2C">
        <w:rPr>
          <w:color w:val="auto"/>
          <w:sz w:val="17"/>
          <w:szCs w:val="17"/>
          <w:lang w:val="nl-BE"/>
        </w:rPr>
        <w:t>1.2.2.8.Weergave van de waarde van numerieke data-elementen ..</w:t>
      </w:r>
      <w:r w:rsidRPr="00165A2C">
        <w:rPr>
          <w:sz w:val="17"/>
          <w:szCs w:val="17"/>
          <w:lang w:val="nl-BE"/>
        </w:rPr>
        <w:t>8</w:t>
      </w:r>
    </w:p>
    <w:p w:rsidR="00165A2C" w:rsidRPr="00165A2C" w:rsidRDefault="00165A2C" w:rsidP="00165A2C">
      <w:pPr>
        <w:pStyle w:val="Default"/>
        <w:rPr>
          <w:color w:val="auto"/>
          <w:sz w:val="17"/>
          <w:szCs w:val="17"/>
          <w:lang w:val="de-DE"/>
        </w:rPr>
      </w:pPr>
      <w:r w:rsidRPr="00165A2C">
        <w:rPr>
          <w:color w:val="auto"/>
          <w:sz w:val="17"/>
          <w:szCs w:val="17"/>
          <w:lang w:val="de-DE"/>
        </w:rPr>
        <w:t>1.3.Berichten ..</w:t>
      </w:r>
      <w:r w:rsidRPr="00165A2C">
        <w:rPr>
          <w:sz w:val="17"/>
          <w:szCs w:val="17"/>
          <w:lang w:val="de-DE"/>
        </w:rPr>
        <w:t>10</w:t>
      </w:r>
    </w:p>
    <w:p w:rsidR="00165A2C" w:rsidRPr="00165A2C" w:rsidRDefault="00165A2C" w:rsidP="00165A2C">
      <w:pPr>
        <w:pStyle w:val="Default"/>
        <w:rPr>
          <w:color w:val="auto"/>
          <w:sz w:val="17"/>
          <w:szCs w:val="17"/>
          <w:lang w:val="de-DE"/>
        </w:rPr>
      </w:pPr>
      <w:r w:rsidRPr="00165A2C">
        <w:rPr>
          <w:color w:val="auto"/>
          <w:sz w:val="17"/>
          <w:szCs w:val="17"/>
          <w:lang w:val="de-DE"/>
        </w:rPr>
        <w:t>1.3.1.ERINOT ..</w:t>
      </w:r>
      <w:r w:rsidRPr="00165A2C">
        <w:rPr>
          <w:sz w:val="17"/>
          <w:szCs w:val="17"/>
          <w:lang w:val="de-DE"/>
        </w:rPr>
        <w:t>10</w:t>
      </w:r>
    </w:p>
    <w:p w:rsidR="00165A2C" w:rsidRPr="00165A2C" w:rsidRDefault="00165A2C" w:rsidP="00165A2C">
      <w:pPr>
        <w:pStyle w:val="Default"/>
        <w:rPr>
          <w:color w:val="auto"/>
          <w:sz w:val="17"/>
          <w:szCs w:val="17"/>
          <w:lang w:val="de-DE"/>
        </w:rPr>
      </w:pPr>
      <w:r w:rsidRPr="00165A2C">
        <w:rPr>
          <w:color w:val="auto"/>
          <w:sz w:val="17"/>
          <w:szCs w:val="17"/>
          <w:lang w:val="de-DE"/>
        </w:rPr>
        <w:t>1.3.2.PAXLST ..</w:t>
      </w:r>
      <w:r w:rsidRPr="00165A2C">
        <w:rPr>
          <w:sz w:val="17"/>
          <w:szCs w:val="17"/>
          <w:lang w:val="de-DE"/>
        </w:rPr>
        <w:t>11</w:t>
      </w:r>
    </w:p>
    <w:p w:rsidR="00165A2C" w:rsidRPr="00165A2C" w:rsidRDefault="00165A2C" w:rsidP="00165A2C">
      <w:pPr>
        <w:pStyle w:val="Default"/>
        <w:rPr>
          <w:color w:val="auto"/>
          <w:sz w:val="17"/>
          <w:szCs w:val="17"/>
          <w:lang w:val="de-DE"/>
        </w:rPr>
      </w:pPr>
      <w:r w:rsidRPr="00165A2C">
        <w:rPr>
          <w:color w:val="auto"/>
          <w:sz w:val="17"/>
          <w:szCs w:val="17"/>
          <w:lang w:val="de-DE"/>
        </w:rPr>
        <w:t>1.3.3.ERIRSP ..</w:t>
      </w:r>
      <w:r w:rsidRPr="00165A2C">
        <w:rPr>
          <w:sz w:val="17"/>
          <w:szCs w:val="17"/>
          <w:lang w:val="de-DE"/>
        </w:rPr>
        <w:t>11</w:t>
      </w:r>
    </w:p>
    <w:p w:rsidR="00165A2C" w:rsidRPr="00165A2C" w:rsidRDefault="00165A2C" w:rsidP="00165A2C">
      <w:pPr>
        <w:pStyle w:val="Default"/>
        <w:rPr>
          <w:color w:val="auto"/>
          <w:sz w:val="17"/>
          <w:szCs w:val="17"/>
          <w:lang w:val="de-DE"/>
        </w:rPr>
      </w:pPr>
      <w:r w:rsidRPr="00165A2C">
        <w:rPr>
          <w:color w:val="auto"/>
          <w:sz w:val="17"/>
          <w:szCs w:val="17"/>
          <w:lang w:val="de-DE"/>
        </w:rPr>
        <w:t>1.3.4.BERMAN ..</w:t>
      </w:r>
      <w:r w:rsidRPr="00165A2C">
        <w:rPr>
          <w:sz w:val="17"/>
          <w:szCs w:val="17"/>
          <w:lang w:val="de-DE"/>
        </w:rPr>
        <w:t>11</w:t>
      </w:r>
    </w:p>
    <w:p w:rsidR="00165A2C" w:rsidRPr="00165A2C" w:rsidRDefault="00165A2C" w:rsidP="00165A2C">
      <w:pPr>
        <w:pStyle w:val="Default"/>
        <w:rPr>
          <w:color w:val="auto"/>
          <w:sz w:val="17"/>
          <w:szCs w:val="17"/>
          <w:lang w:val="nl-BE"/>
        </w:rPr>
      </w:pPr>
      <w:r w:rsidRPr="00165A2C">
        <w:rPr>
          <w:color w:val="auto"/>
          <w:sz w:val="17"/>
          <w:szCs w:val="17"/>
          <w:lang w:val="nl-BE"/>
        </w:rPr>
        <w:t>1.4.Wijzigingsprocedures ..</w:t>
      </w:r>
      <w:r w:rsidRPr="00165A2C">
        <w:rPr>
          <w:sz w:val="17"/>
          <w:szCs w:val="17"/>
          <w:lang w:val="nl-BE"/>
        </w:rPr>
        <w:t>11</w:t>
      </w:r>
    </w:p>
    <w:p w:rsidR="00165A2C" w:rsidRPr="00165A2C" w:rsidRDefault="00165A2C" w:rsidP="00165A2C">
      <w:pPr>
        <w:pStyle w:val="Default"/>
        <w:rPr>
          <w:color w:val="auto"/>
          <w:sz w:val="17"/>
          <w:szCs w:val="17"/>
          <w:lang w:val="nl-BE"/>
        </w:rPr>
      </w:pPr>
      <w:r w:rsidRPr="00165A2C">
        <w:rPr>
          <w:color w:val="auto"/>
          <w:sz w:val="17"/>
          <w:szCs w:val="17"/>
          <w:lang w:val="nl-BE"/>
        </w:rPr>
        <w:t>2.Deel II: Codes en referenties ..</w:t>
      </w:r>
      <w:r w:rsidRPr="00165A2C">
        <w:rPr>
          <w:sz w:val="17"/>
          <w:szCs w:val="17"/>
          <w:lang w:val="nl-BE"/>
        </w:rPr>
        <w:t>11</w:t>
      </w:r>
    </w:p>
    <w:p w:rsidR="00165A2C" w:rsidRPr="00165A2C" w:rsidRDefault="00165A2C" w:rsidP="00165A2C">
      <w:pPr>
        <w:pStyle w:val="Default"/>
        <w:rPr>
          <w:color w:val="auto"/>
          <w:sz w:val="17"/>
          <w:szCs w:val="17"/>
          <w:lang w:val="nl-BE"/>
        </w:rPr>
      </w:pPr>
      <w:r w:rsidRPr="00165A2C">
        <w:rPr>
          <w:color w:val="auto"/>
          <w:sz w:val="17"/>
          <w:szCs w:val="17"/>
          <w:lang w:val="nl-BE"/>
        </w:rPr>
        <w:t>2.1.Inleiding ..</w:t>
      </w:r>
      <w:r w:rsidRPr="00165A2C">
        <w:rPr>
          <w:sz w:val="17"/>
          <w:szCs w:val="17"/>
          <w:lang w:val="nl-BE"/>
        </w:rPr>
        <w:t>11</w:t>
      </w:r>
    </w:p>
    <w:p w:rsidR="00165A2C" w:rsidRPr="00165A2C" w:rsidRDefault="00165A2C" w:rsidP="00165A2C">
      <w:pPr>
        <w:pStyle w:val="Default"/>
        <w:rPr>
          <w:color w:val="auto"/>
          <w:sz w:val="17"/>
          <w:szCs w:val="17"/>
          <w:lang w:val="nl-BE"/>
        </w:rPr>
      </w:pPr>
      <w:r w:rsidRPr="00165A2C">
        <w:rPr>
          <w:color w:val="auto"/>
          <w:sz w:val="17"/>
          <w:szCs w:val="17"/>
          <w:lang w:val="nl-BE"/>
        </w:rPr>
        <w:t>2.2.Verklaringen ..</w:t>
      </w:r>
      <w:r w:rsidRPr="00165A2C">
        <w:rPr>
          <w:sz w:val="17"/>
          <w:szCs w:val="17"/>
          <w:lang w:val="nl-BE"/>
        </w:rPr>
        <w:t>12</w:t>
      </w:r>
    </w:p>
    <w:p w:rsidR="00165A2C" w:rsidRPr="00165A2C" w:rsidRDefault="00165A2C" w:rsidP="00165A2C">
      <w:pPr>
        <w:pStyle w:val="Default"/>
        <w:rPr>
          <w:color w:val="auto"/>
          <w:sz w:val="17"/>
          <w:szCs w:val="17"/>
          <w:lang w:val="nl-BE"/>
        </w:rPr>
      </w:pPr>
      <w:r w:rsidRPr="00165A2C">
        <w:rPr>
          <w:color w:val="auto"/>
          <w:sz w:val="17"/>
          <w:szCs w:val="17"/>
          <w:lang w:val="nl-BE"/>
        </w:rPr>
        <w:t>2.2.1.Terminologie ..</w:t>
      </w:r>
      <w:r w:rsidRPr="00165A2C">
        <w:rPr>
          <w:sz w:val="17"/>
          <w:szCs w:val="17"/>
          <w:lang w:val="nl-BE"/>
        </w:rPr>
        <w:t>12</w:t>
      </w:r>
    </w:p>
    <w:p w:rsidR="00165A2C" w:rsidRPr="00165A2C" w:rsidRDefault="00165A2C" w:rsidP="00165A2C">
      <w:pPr>
        <w:pStyle w:val="Default"/>
        <w:rPr>
          <w:color w:val="auto"/>
          <w:sz w:val="17"/>
          <w:szCs w:val="17"/>
          <w:lang w:val="nl-BE"/>
        </w:rPr>
      </w:pPr>
      <w:r w:rsidRPr="00165A2C">
        <w:rPr>
          <w:color w:val="auto"/>
          <w:sz w:val="17"/>
          <w:szCs w:val="17"/>
          <w:lang w:val="nl-BE"/>
        </w:rPr>
        <w:t>2.2.2.WDO en het GS ..</w:t>
      </w:r>
      <w:r w:rsidRPr="00165A2C">
        <w:rPr>
          <w:sz w:val="17"/>
          <w:szCs w:val="17"/>
          <w:lang w:val="nl-BE"/>
        </w:rPr>
        <w:t>12</w:t>
      </w:r>
    </w:p>
    <w:p w:rsidR="00165A2C" w:rsidRPr="00165A2C" w:rsidRDefault="00165A2C" w:rsidP="00165A2C">
      <w:pPr>
        <w:pStyle w:val="Default"/>
        <w:rPr>
          <w:color w:val="auto"/>
          <w:sz w:val="17"/>
          <w:szCs w:val="17"/>
          <w:lang w:val="nl-BE"/>
        </w:rPr>
      </w:pPr>
      <w:r w:rsidRPr="00165A2C">
        <w:rPr>
          <w:color w:val="auto"/>
          <w:sz w:val="17"/>
          <w:szCs w:val="17"/>
          <w:lang w:val="nl-BE"/>
        </w:rPr>
        <w:t>2.3.Definities ..</w:t>
      </w:r>
      <w:r w:rsidRPr="00165A2C">
        <w:rPr>
          <w:sz w:val="17"/>
          <w:szCs w:val="17"/>
          <w:lang w:val="nl-BE"/>
        </w:rPr>
        <w:t>13</w:t>
      </w:r>
    </w:p>
    <w:p w:rsidR="00165A2C" w:rsidRPr="00165A2C" w:rsidRDefault="00165A2C" w:rsidP="00165A2C">
      <w:pPr>
        <w:pStyle w:val="Default"/>
        <w:rPr>
          <w:color w:val="auto"/>
          <w:sz w:val="17"/>
          <w:szCs w:val="17"/>
          <w:lang w:val="nl-BE"/>
        </w:rPr>
      </w:pPr>
      <w:r w:rsidRPr="00165A2C">
        <w:rPr>
          <w:color w:val="auto"/>
          <w:sz w:val="17"/>
          <w:szCs w:val="17"/>
          <w:lang w:val="nl-BE"/>
        </w:rPr>
        <w:t>2.4.Classificaties en beschrijvingen van codes ..</w:t>
      </w:r>
      <w:r w:rsidRPr="00165A2C">
        <w:rPr>
          <w:sz w:val="17"/>
          <w:szCs w:val="17"/>
          <w:lang w:val="nl-BE"/>
        </w:rPr>
        <w:t>16</w:t>
      </w:r>
    </w:p>
    <w:p w:rsidR="00165A2C" w:rsidRPr="00165A2C" w:rsidRDefault="00165A2C" w:rsidP="00165A2C">
      <w:pPr>
        <w:pStyle w:val="Default"/>
        <w:rPr>
          <w:color w:val="auto"/>
          <w:sz w:val="17"/>
          <w:szCs w:val="17"/>
          <w:lang w:val="nl-BE"/>
        </w:rPr>
      </w:pPr>
      <w:r w:rsidRPr="00165A2C">
        <w:rPr>
          <w:color w:val="auto"/>
          <w:sz w:val="17"/>
          <w:szCs w:val="17"/>
          <w:lang w:val="nl-BE"/>
        </w:rPr>
        <w:t>2.4.1.Bijwerking van codes en referentietabellen ..</w:t>
      </w:r>
      <w:r w:rsidRPr="00165A2C">
        <w:rPr>
          <w:sz w:val="17"/>
          <w:szCs w:val="17"/>
          <w:lang w:val="nl-BE"/>
        </w:rPr>
        <w:t>17</w:t>
      </w:r>
    </w:p>
    <w:p w:rsidR="00165A2C" w:rsidRPr="00165A2C" w:rsidRDefault="00165A2C" w:rsidP="00165A2C">
      <w:pPr>
        <w:pStyle w:val="Default"/>
        <w:rPr>
          <w:color w:val="auto"/>
          <w:sz w:val="17"/>
          <w:szCs w:val="17"/>
          <w:lang w:val="nl-BE"/>
        </w:rPr>
      </w:pPr>
      <w:r w:rsidRPr="00165A2C">
        <w:rPr>
          <w:color w:val="auto"/>
          <w:sz w:val="17"/>
          <w:szCs w:val="17"/>
          <w:lang w:val="nl-BE"/>
        </w:rPr>
        <w:t>2.4.2.Beschrijvingen van de codetabellen ..</w:t>
      </w:r>
      <w:r w:rsidRPr="00165A2C">
        <w:rPr>
          <w:sz w:val="17"/>
          <w:szCs w:val="17"/>
          <w:lang w:val="nl-BE"/>
        </w:rPr>
        <w:t>18</w:t>
      </w:r>
    </w:p>
    <w:p w:rsidR="00165A2C" w:rsidRPr="00165A2C" w:rsidRDefault="00165A2C" w:rsidP="00165A2C">
      <w:pPr>
        <w:pStyle w:val="Default"/>
        <w:rPr>
          <w:color w:val="auto"/>
          <w:sz w:val="17"/>
          <w:szCs w:val="17"/>
          <w:lang w:val="nl-BE"/>
        </w:rPr>
      </w:pPr>
      <w:r w:rsidRPr="00165A2C">
        <w:rPr>
          <w:color w:val="auto"/>
          <w:sz w:val="17"/>
          <w:szCs w:val="17"/>
          <w:lang w:val="nl-BE"/>
        </w:rPr>
        <w:t>2.4.2.1.Type schip en samenstel ..</w:t>
      </w:r>
      <w:r w:rsidRPr="00165A2C">
        <w:rPr>
          <w:sz w:val="17"/>
          <w:szCs w:val="17"/>
          <w:lang w:val="nl-BE"/>
        </w:rPr>
        <w:t>18</w:t>
      </w:r>
    </w:p>
    <w:p w:rsidR="00165A2C" w:rsidRPr="00165A2C" w:rsidRDefault="00165A2C" w:rsidP="00165A2C">
      <w:pPr>
        <w:pStyle w:val="Default"/>
        <w:rPr>
          <w:color w:val="auto"/>
          <w:sz w:val="17"/>
          <w:szCs w:val="17"/>
          <w:lang w:val="nl-BE"/>
        </w:rPr>
      </w:pPr>
      <w:r w:rsidRPr="00165A2C">
        <w:rPr>
          <w:color w:val="auto"/>
          <w:sz w:val="17"/>
          <w:szCs w:val="17"/>
          <w:lang w:val="nl-BE"/>
        </w:rPr>
        <w:t>2.4.2.2.Officieel scheepsnummer (OFS) ..</w:t>
      </w:r>
      <w:r w:rsidRPr="00165A2C">
        <w:rPr>
          <w:sz w:val="17"/>
          <w:szCs w:val="17"/>
          <w:lang w:val="nl-BE"/>
        </w:rPr>
        <w:t>19</w:t>
      </w:r>
    </w:p>
    <w:p w:rsidR="00165A2C" w:rsidRPr="00165A2C" w:rsidRDefault="00165A2C" w:rsidP="00165A2C">
      <w:pPr>
        <w:pStyle w:val="Default"/>
        <w:rPr>
          <w:color w:val="auto"/>
          <w:sz w:val="17"/>
          <w:szCs w:val="17"/>
          <w:lang w:val="nl-BE"/>
        </w:rPr>
      </w:pPr>
      <w:r w:rsidRPr="00165A2C">
        <w:rPr>
          <w:color w:val="auto"/>
          <w:sz w:val="17"/>
          <w:szCs w:val="17"/>
          <w:lang w:val="nl-BE"/>
        </w:rPr>
        <w:t>2.4.2.3.IMO-scheepsidentificatienummer ..</w:t>
      </w:r>
      <w:r w:rsidRPr="00165A2C">
        <w:rPr>
          <w:sz w:val="17"/>
          <w:szCs w:val="17"/>
          <w:lang w:val="nl-BE"/>
        </w:rPr>
        <w:t>19</w:t>
      </w:r>
    </w:p>
    <w:p w:rsidR="00165A2C" w:rsidRPr="00165A2C" w:rsidRDefault="00165A2C" w:rsidP="00165A2C">
      <w:pPr>
        <w:pStyle w:val="Default"/>
        <w:rPr>
          <w:color w:val="auto"/>
          <w:sz w:val="19"/>
          <w:szCs w:val="19"/>
          <w:lang w:val="nl-BE"/>
        </w:rPr>
      </w:pPr>
      <w:r w:rsidRPr="00165A2C">
        <w:rPr>
          <w:color w:val="auto"/>
          <w:sz w:val="17"/>
          <w:szCs w:val="17"/>
          <w:lang w:val="nl-BE"/>
        </w:rPr>
        <w:t>2.4.2.4.Elektronisch rapporteringsnummer (voor de identificatie van schepen) ERN ..</w:t>
      </w:r>
      <w:r w:rsidRPr="00165A2C">
        <w:rPr>
          <w:sz w:val="17"/>
          <w:szCs w:val="17"/>
          <w:lang w:val="nl-BE"/>
        </w:rPr>
        <w:t>20</w:t>
      </w:r>
      <w:r w:rsidRPr="00165A2C">
        <w:rPr>
          <w:color w:val="auto"/>
          <w:sz w:val="17"/>
          <w:szCs w:val="17"/>
          <w:lang w:val="nl-BE"/>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Pr="00165A2C">
        <w:rPr>
          <w:color w:val="auto"/>
          <w:sz w:val="19"/>
          <w:szCs w:val="19"/>
          <w:lang w:val="nl-BE"/>
        </w:rPr>
        <w:t xml:space="preserve">L 57/4 </w:t>
      </w:r>
      <w:r w:rsidRPr="00165A2C">
        <w:rPr>
          <w:color w:val="auto"/>
          <w:sz w:val="17"/>
          <w:szCs w:val="17"/>
          <w:lang w:val="nl-BE"/>
        </w:rPr>
        <w:t xml:space="preserve">NL </w:t>
      </w:r>
      <w:r w:rsidRPr="00165A2C">
        <w:rPr>
          <w:color w:val="auto"/>
          <w:sz w:val="19"/>
          <w:szCs w:val="19"/>
          <w:lang w:val="nl-BE"/>
        </w:rPr>
        <w:t xml:space="preserve">Publicatieblad van de Europese Unie 6.3.2010 </w:t>
      </w:r>
    </w:p>
    <w:p w:rsidR="00165A2C" w:rsidRPr="00165A2C" w:rsidRDefault="00165A2C" w:rsidP="00165A2C">
      <w:pPr>
        <w:pStyle w:val="Default"/>
        <w:pageBreakBefore/>
        <w:rPr>
          <w:color w:val="auto"/>
          <w:sz w:val="19"/>
          <w:szCs w:val="19"/>
          <w:lang w:val="nl-BE"/>
        </w:rPr>
      </w:pPr>
    </w:p>
    <w:p w:rsidR="00165A2C" w:rsidRPr="00165A2C" w:rsidRDefault="00165A2C" w:rsidP="00165A2C">
      <w:pPr>
        <w:pStyle w:val="Default"/>
        <w:rPr>
          <w:color w:val="auto"/>
          <w:sz w:val="17"/>
          <w:szCs w:val="17"/>
          <w:lang w:val="nl-BE"/>
        </w:rPr>
      </w:pPr>
      <w:r w:rsidRPr="00165A2C">
        <w:rPr>
          <w:color w:val="auto"/>
          <w:sz w:val="17"/>
          <w:szCs w:val="17"/>
          <w:lang w:val="nl-BE"/>
        </w:rPr>
        <w:t>2.4.2.5.Uniek Europees scheepsidentificatienummer ..</w:t>
      </w:r>
      <w:r w:rsidRPr="00165A2C">
        <w:rPr>
          <w:sz w:val="17"/>
          <w:szCs w:val="17"/>
          <w:lang w:val="nl-BE"/>
        </w:rPr>
        <w:t>21</w:t>
      </w:r>
    </w:p>
    <w:p w:rsidR="00165A2C" w:rsidRPr="00165A2C" w:rsidRDefault="00165A2C" w:rsidP="00165A2C">
      <w:pPr>
        <w:pStyle w:val="Default"/>
        <w:rPr>
          <w:color w:val="auto"/>
          <w:sz w:val="17"/>
          <w:szCs w:val="17"/>
          <w:lang w:val="nl-BE"/>
        </w:rPr>
      </w:pPr>
      <w:r w:rsidRPr="00165A2C">
        <w:rPr>
          <w:color w:val="auto"/>
          <w:sz w:val="17"/>
          <w:szCs w:val="17"/>
          <w:lang w:val="nl-BE"/>
        </w:rPr>
        <w:t>2.4.2.6.Code geharmoniseerd systeem (GS) ..</w:t>
      </w:r>
      <w:r w:rsidRPr="00165A2C">
        <w:rPr>
          <w:sz w:val="17"/>
          <w:szCs w:val="17"/>
          <w:lang w:val="nl-BE"/>
        </w:rPr>
        <w:t>21</w:t>
      </w:r>
    </w:p>
    <w:p w:rsidR="00165A2C" w:rsidRPr="00165A2C" w:rsidRDefault="00165A2C" w:rsidP="00165A2C">
      <w:pPr>
        <w:pStyle w:val="Default"/>
        <w:rPr>
          <w:color w:val="auto"/>
          <w:sz w:val="17"/>
          <w:szCs w:val="17"/>
          <w:lang w:val="nl-BE"/>
        </w:rPr>
      </w:pPr>
      <w:r w:rsidRPr="00165A2C">
        <w:rPr>
          <w:color w:val="auto"/>
          <w:sz w:val="17"/>
          <w:szCs w:val="17"/>
          <w:lang w:val="nl-BE"/>
        </w:rPr>
        <w:t>2.4.2.7.Gecombineerde nomenclatuur (GN) ..</w:t>
      </w:r>
      <w:r w:rsidRPr="00165A2C">
        <w:rPr>
          <w:sz w:val="17"/>
          <w:szCs w:val="17"/>
          <w:lang w:val="nl-BE"/>
        </w:rPr>
        <w:t>22</w:t>
      </w:r>
    </w:p>
    <w:p w:rsidR="00165A2C" w:rsidRPr="00165A2C" w:rsidRDefault="00165A2C" w:rsidP="00165A2C">
      <w:pPr>
        <w:pStyle w:val="Default"/>
        <w:rPr>
          <w:color w:val="auto"/>
          <w:sz w:val="17"/>
          <w:szCs w:val="17"/>
          <w:lang w:val="nl-BE"/>
        </w:rPr>
      </w:pPr>
      <w:r w:rsidRPr="00165A2C">
        <w:rPr>
          <w:color w:val="auto"/>
          <w:sz w:val="17"/>
          <w:szCs w:val="17"/>
          <w:lang w:val="nl-BE"/>
        </w:rPr>
        <w:t>2.4.2.8.Uniforme goederennomenclatuur voor de vervoersstatistiek/herzien (NST) 2000 ..</w:t>
      </w:r>
      <w:r w:rsidRPr="00165A2C">
        <w:rPr>
          <w:sz w:val="17"/>
          <w:szCs w:val="17"/>
          <w:lang w:val="nl-BE"/>
        </w:rPr>
        <w:t>23</w:t>
      </w:r>
    </w:p>
    <w:p w:rsidR="00165A2C" w:rsidRPr="00165A2C" w:rsidRDefault="00165A2C" w:rsidP="00165A2C">
      <w:pPr>
        <w:pStyle w:val="Default"/>
        <w:rPr>
          <w:color w:val="auto"/>
          <w:sz w:val="17"/>
          <w:szCs w:val="17"/>
          <w:lang w:val="nl-BE"/>
        </w:rPr>
      </w:pPr>
      <w:r w:rsidRPr="00165A2C">
        <w:rPr>
          <w:color w:val="auto"/>
          <w:sz w:val="17"/>
          <w:szCs w:val="17"/>
          <w:lang w:val="nl-BE"/>
        </w:rPr>
        <w:t>2.4.2.9.VN-code gevaarlijke goederen (UNDG) ..</w:t>
      </w:r>
      <w:r w:rsidRPr="00165A2C">
        <w:rPr>
          <w:sz w:val="17"/>
          <w:szCs w:val="17"/>
          <w:lang w:val="nl-BE"/>
        </w:rPr>
        <w:t>26</w:t>
      </w:r>
    </w:p>
    <w:p w:rsidR="00165A2C" w:rsidRPr="00165A2C" w:rsidRDefault="00165A2C" w:rsidP="00165A2C">
      <w:pPr>
        <w:pStyle w:val="Default"/>
        <w:rPr>
          <w:color w:val="auto"/>
          <w:sz w:val="17"/>
          <w:szCs w:val="17"/>
          <w:lang w:val="nl-BE"/>
        </w:rPr>
      </w:pPr>
      <w:r w:rsidRPr="00165A2C">
        <w:rPr>
          <w:color w:val="auto"/>
          <w:sz w:val="17"/>
          <w:szCs w:val="17"/>
          <w:lang w:val="nl-BE"/>
        </w:rPr>
        <w:t>2.4.2.10.Internationale Code voor het vervoer van gevaarlijke stoffen over zee (IMDG) ..</w:t>
      </w:r>
      <w:r w:rsidRPr="00165A2C">
        <w:rPr>
          <w:sz w:val="17"/>
          <w:szCs w:val="17"/>
          <w:lang w:val="nl-BE"/>
        </w:rPr>
        <w:t>27</w:t>
      </w:r>
    </w:p>
    <w:p w:rsidR="00165A2C" w:rsidRPr="00165A2C" w:rsidRDefault="00165A2C" w:rsidP="00165A2C">
      <w:pPr>
        <w:pStyle w:val="Default"/>
        <w:rPr>
          <w:color w:val="auto"/>
          <w:sz w:val="17"/>
          <w:szCs w:val="17"/>
          <w:lang w:val="nl-BE"/>
        </w:rPr>
      </w:pPr>
      <w:r w:rsidRPr="00165A2C">
        <w:rPr>
          <w:color w:val="auto"/>
          <w:sz w:val="17"/>
          <w:szCs w:val="17"/>
          <w:lang w:val="nl-BE"/>
        </w:rPr>
        <w:t>2.4.2.11.ADN/R/D ..</w:t>
      </w:r>
      <w:r w:rsidRPr="00165A2C">
        <w:rPr>
          <w:sz w:val="17"/>
          <w:szCs w:val="17"/>
          <w:lang w:val="nl-BE"/>
        </w:rPr>
        <w:t>28</w:t>
      </w:r>
    </w:p>
    <w:p w:rsidR="00165A2C" w:rsidRPr="00165A2C" w:rsidRDefault="00165A2C" w:rsidP="00165A2C">
      <w:pPr>
        <w:pStyle w:val="Default"/>
        <w:rPr>
          <w:color w:val="auto"/>
          <w:sz w:val="17"/>
          <w:szCs w:val="17"/>
          <w:lang w:val="nl-BE"/>
        </w:rPr>
      </w:pPr>
      <w:r w:rsidRPr="00165A2C">
        <w:rPr>
          <w:color w:val="auto"/>
          <w:sz w:val="17"/>
          <w:szCs w:val="17"/>
          <w:lang w:val="nl-BE"/>
        </w:rPr>
        <w:t>2.4.2.12.VN-landcode ..</w:t>
      </w:r>
      <w:r w:rsidRPr="00165A2C">
        <w:rPr>
          <w:sz w:val="17"/>
          <w:szCs w:val="17"/>
          <w:lang w:val="nl-BE"/>
        </w:rPr>
        <w:t>29</w:t>
      </w:r>
    </w:p>
    <w:p w:rsidR="00165A2C" w:rsidRPr="00165A2C" w:rsidRDefault="00165A2C" w:rsidP="00165A2C">
      <w:pPr>
        <w:pStyle w:val="Default"/>
        <w:rPr>
          <w:color w:val="auto"/>
          <w:sz w:val="17"/>
          <w:szCs w:val="17"/>
          <w:lang w:val="nl-BE"/>
        </w:rPr>
      </w:pPr>
      <w:r w:rsidRPr="00165A2C">
        <w:rPr>
          <w:color w:val="auto"/>
          <w:sz w:val="17"/>
          <w:szCs w:val="17"/>
          <w:lang w:val="nl-BE"/>
        </w:rPr>
        <w:t>2.4.2.13.VN-locatiecode — UNLOCODE ..</w:t>
      </w:r>
      <w:r w:rsidRPr="00165A2C">
        <w:rPr>
          <w:sz w:val="17"/>
          <w:szCs w:val="17"/>
          <w:lang w:val="nl-BE"/>
        </w:rPr>
        <w:t>29</w:t>
      </w:r>
    </w:p>
    <w:p w:rsidR="00165A2C" w:rsidRPr="00165A2C" w:rsidRDefault="00165A2C" w:rsidP="00165A2C">
      <w:pPr>
        <w:pStyle w:val="Default"/>
        <w:rPr>
          <w:color w:val="auto"/>
          <w:sz w:val="17"/>
          <w:szCs w:val="17"/>
          <w:lang w:val="nl-BE"/>
        </w:rPr>
      </w:pPr>
      <w:r w:rsidRPr="00165A2C">
        <w:rPr>
          <w:color w:val="auto"/>
          <w:sz w:val="17"/>
          <w:szCs w:val="17"/>
          <w:lang w:val="nl-BE"/>
        </w:rPr>
        <w:t>2.4.2.14.Code vaarwegsecties ..</w:t>
      </w:r>
      <w:r w:rsidRPr="00165A2C">
        <w:rPr>
          <w:sz w:val="17"/>
          <w:szCs w:val="17"/>
          <w:lang w:val="nl-BE"/>
        </w:rPr>
        <w:t>30</w:t>
      </w:r>
    </w:p>
    <w:p w:rsidR="00165A2C" w:rsidRDefault="00165A2C" w:rsidP="00165A2C">
      <w:pPr>
        <w:pStyle w:val="Default"/>
        <w:rPr>
          <w:color w:val="auto"/>
          <w:sz w:val="17"/>
          <w:szCs w:val="17"/>
        </w:rPr>
      </w:pPr>
      <w:r>
        <w:rPr>
          <w:color w:val="auto"/>
          <w:sz w:val="17"/>
          <w:szCs w:val="17"/>
        </w:rPr>
        <w:t>2.4.2.15.</w:t>
      </w:r>
      <w:proofErr w:type="spellStart"/>
      <w:r>
        <w:rPr>
          <w:color w:val="auto"/>
          <w:sz w:val="17"/>
          <w:szCs w:val="17"/>
        </w:rPr>
        <w:t>Terminalcode</w:t>
      </w:r>
      <w:proofErr w:type="spellEnd"/>
      <w:r>
        <w:rPr>
          <w:color w:val="auto"/>
          <w:sz w:val="17"/>
          <w:szCs w:val="17"/>
        </w:rPr>
        <w:t xml:space="preserve"> ..</w:t>
      </w:r>
      <w:r>
        <w:rPr>
          <w:sz w:val="17"/>
          <w:szCs w:val="17"/>
        </w:rPr>
        <w:t>31</w:t>
      </w:r>
    </w:p>
    <w:p w:rsidR="00165A2C" w:rsidRDefault="00165A2C" w:rsidP="00165A2C">
      <w:pPr>
        <w:pStyle w:val="Default"/>
        <w:rPr>
          <w:color w:val="auto"/>
          <w:sz w:val="17"/>
          <w:szCs w:val="17"/>
        </w:rPr>
      </w:pPr>
      <w:r>
        <w:rPr>
          <w:color w:val="auto"/>
          <w:sz w:val="17"/>
          <w:szCs w:val="17"/>
        </w:rPr>
        <w:t xml:space="preserve">2.4.2.16.Code </w:t>
      </w:r>
      <w:proofErr w:type="spellStart"/>
      <w:r>
        <w:rPr>
          <w:color w:val="auto"/>
          <w:sz w:val="17"/>
          <w:szCs w:val="17"/>
        </w:rPr>
        <w:t>voor</w:t>
      </w:r>
      <w:proofErr w:type="spellEnd"/>
      <w:r>
        <w:rPr>
          <w:color w:val="auto"/>
          <w:sz w:val="17"/>
          <w:szCs w:val="17"/>
        </w:rPr>
        <w:t xml:space="preserve"> </w:t>
      </w:r>
      <w:proofErr w:type="spellStart"/>
      <w:r>
        <w:rPr>
          <w:color w:val="auto"/>
          <w:sz w:val="17"/>
          <w:szCs w:val="17"/>
        </w:rPr>
        <w:t>containerafmetingen</w:t>
      </w:r>
      <w:proofErr w:type="spellEnd"/>
      <w:r>
        <w:rPr>
          <w:color w:val="auto"/>
          <w:sz w:val="17"/>
          <w:szCs w:val="17"/>
        </w:rPr>
        <w:t xml:space="preserve"> en </w:t>
      </w:r>
      <w:proofErr w:type="spellStart"/>
      <w:r>
        <w:rPr>
          <w:color w:val="auto"/>
          <w:sz w:val="17"/>
          <w:szCs w:val="17"/>
        </w:rPr>
        <w:t>containertypes</w:t>
      </w:r>
      <w:proofErr w:type="spellEnd"/>
      <w:r>
        <w:rPr>
          <w:color w:val="auto"/>
          <w:sz w:val="17"/>
          <w:szCs w:val="17"/>
        </w:rPr>
        <w:t xml:space="preserve"> ..</w:t>
      </w:r>
      <w:r>
        <w:rPr>
          <w:sz w:val="17"/>
          <w:szCs w:val="17"/>
        </w:rPr>
        <w:t>32</w:t>
      </w:r>
    </w:p>
    <w:p w:rsidR="00165A2C" w:rsidRDefault="00165A2C" w:rsidP="00165A2C">
      <w:pPr>
        <w:pStyle w:val="Default"/>
        <w:rPr>
          <w:color w:val="auto"/>
          <w:sz w:val="17"/>
          <w:szCs w:val="17"/>
        </w:rPr>
      </w:pPr>
      <w:r>
        <w:rPr>
          <w:color w:val="auto"/>
          <w:sz w:val="17"/>
          <w:szCs w:val="17"/>
        </w:rPr>
        <w:t>2.4.2.17.</w:t>
      </w:r>
      <w:proofErr w:type="spellStart"/>
      <w:r>
        <w:rPr>
          <w:color w:val="auto"/>
          <w:sz w:val="17"/>
          <w:szCs w:val="17"/>
        </w:rPr>
        <w:t>Containeridentificatiecode</w:t>
      </w:r>
      <w:proofErr w:type="spellEnd"/>
      <w:r>
        <w:rPr>
          <w:color w:val="auto"/>
          <w:sz w:val="17"/>
          <w:szCs w:val="17"/>
        </w:rPr>
        <w:t xml:space="preserve"> ..</w:t>
      </w:r>
      <w:r>
        <w:rPr>
          <w:sz w:val="17"/>
          <w:szCs w:val="17"/>
        </w:rPr>
        <w:t>32</w:t>
      </w:r>
    </w:p>
    <w:p w:rsidR="00165A2C" w:rsidRPr="00165A2C" w:rsidRDefault="00165A2C" w:rsidP="00165A2C">
      <w:pPr>
        <w:pStyle w:val="Default"/>
        <w:rPr>
          <w:color w:val="auto"/>
          <w:sz w:val="17"/>
          <w:szCs w:val="17"/>
          <w:lang w:val="nl-BE"/>
        </w:rPr>
      </w:pPr>
      <w:r w:rsidRPr="00165A2C">
        <w:rPr>
          <w:color w:val="auto"/>
          <w:sz w:val="17"/>
          <w:szCs w:val="17"/>
          <w:lang w:val="nl-BE"/>
        </w:rPr>
        <w:t>2.4.2.18.Verpakkingstype ..</w:t>
      </w:r>
      <w:r w:rsidRPr="00165A2C">
        <w:rPr>
          <w:sz w:val="17"/>
          <w:szCs w:val="17"/>
          <w:lang w:val="nl-BE"/>
        </w:rPr>
        <w:t>33</w:t>
      </w:r>
    </w:p>
    <w:p w:rsidR="00165A2C" w:rsidRPr="00165A2C" w:rsidRDefault="00165A2C" w:rsidP="00165A2C">
      <w:pPr>
        <w:pStyle w:val="Default"/>
        <w:rPr>
          <w:color w:val="auto"/>
          <w:sz w:val="17"/>
          <w:szCs w:val="17"/>
          <w:lang w:val="nl-BE"/>
        </w:rPr>
      </w:pPr>
      <w:r w:rsidRPr="00165A2C">
        <w:rPr>
          <w:color w:val="auto"/>
          <w:sz w:val="17"/>
          <w:szCs w:val="17"/>
          <w:lang w:val="nl-BE"/>
        </w:rPr>
        <w:t>2.4.2.19.Overslaginstructies ..</w:t>
      </w:r>
      <w:r w:rsidRPr="00165A2C">
        <w:rPr>
          <w:sz w:val="17"/>
          <w:szCs w:val="17"/>
          <w:lang w:val="nl-BE"/>
        </w:rPr>
        <w:t>34</w:t>
      </w:r>
    </w:p>
    <w:p w:rsidR="00165A2C" w:rsidRPr="00165A2C" w:rsidRDefault="00165A2C" w:rsidP="00165A2C">
      <w:pPr>
        <w:pStyle w:val="Default"/>
        <w:rPr>
          <w:color w:val="auto"/>
          <w:sz w:val="17"/>
          <w:szCs w:val="17"/>
          <w:lang w:val="nl-BE"/>
        </w:rPr>
      </w:pPr>
      <w:r w:rsidRPr="00165A2C">
        <w:rPr>
          <w:color w:val="auto"/>
          <w:sz w:val="17"/>
          <w:szCs w:val="17"/>
          <w:lang w:val="nl-BE"/>
        </w:rPr>
        <w:t>2.4.2.20.Doel van aanroep ..</w:t>
      </w:r>
      <w:r w:rsidRPr="00165A2C">
        <w:rPr>
          <w:sz w:val="17"/>
          <w:szCs w:val="17"/>
          <w:lang w:val="nl-BE"/>
        </w:rPr>
        <w:t>34</w:t>
      </w:r>
    </w:p>
    <w:p w:rsidR="00165A2C" w:rsidRPr="00165A2C" w:rsidRDefault="00165A2C" w:rsidP="00165A2C">
      <w:pPr>
        <w:pStyle w:val="Default"/>
        <w:rPr>
          <w:color w:val="auto"/>
          <w:sz w:val="17"/>
          <w:szCs w:val="17"/>
          <w:lang w:val="nl-BE"/>
        </w:rPr>
      </w:pPr>
      <w:r w:rsidRPr="00165A2C">
        <w:rPr>
          <w:color w:val="auto"/>
          <w:sz w:val="17"/>
          <w:szCs w:val="17"/>
          <w:lang w:val="nl-BE"/>
        </w:rPr>
        <w:t>2.4.2.21.Aard van de lading ..</w:t>
      </w:r>
      <w:r w:rsidRPr="00165A2C">
        <w:rPr>
          <w:sz w:val="17"/>
          <w:szCs w:val="17"/>
          <w:lang w:val="nl-BE"/>
        </w:rPr>
        <w:t>35</w:t>
      </w:r>
    </w:p>
    <w:p w:rsidR="00165A2C" w:rsidRPr="00165A2C" w:rsidRDefault="00165A2C" w:rsidP="00165A2C">
      <w:pPr>
        <w:pStyle w:val="Default"/>
        <w:rPr>
          <w:color w:val="auto"/>
          <w:sz w:val="17"/>
          <w:szCs w:val="17"/>
          <w:lang w:val="nl-BE"/>
        </w:rPr>
      </w:pPr>
      <w:r w:rsidRPr="00165A2C">
        <w:rPr>
          <w:color w:val="auto"/>
          <w:sz w:val="17"/>
          <w:szCs w:val="17"/>
          <w:lang w:val="nl-BE"/>
        </w:rPr>
        <w:t>2.5.Uniek Europees scheepsidentificatienummer ..</w:t>
      </w:r>
      <w:r w:rsidRPr="00165A2C">
        <w:rPr>
          <w:sz w:val="17"/>
          <w:szCs w:val="17"/>
          <w:lang w:val="nl-BE"/>
        </w:rPr>
        <w:t>35</w:t>
      </w:r>
    </w:p>
    <w:p w:rsidR="00165A2C" w:rsidRPr="00165A2C" w:rsidRDefault="00165A2C" w:rsidP="00165A2C">
      <w:pPr>
        <w:pStyle w:val="Default"/>
        <w:rPr>
          <w:color w:val="auto"/>
          <w:sz w:val="17"/>
          <w:szCs w:val="17"/>
          <w:lang w:val="nl-BE"/>
        </w:rPr>
      </w:pPr>
      <w:r w:rsidRPr="00165A2C">
        <w:rPr>
          <w:color w:val="auto"/>
          <w:sz w:val="17"/>
          <w:szCs w:val="17"/>
          <w:lang w:val="nl-BE"/>
        </w:rPr>
        <w:t>2.6.Definitie van de ERI-scheepstypes ..</w:t>
      </w:r>
      <w:r w:rsidRPr="00165A2C">
        <w:rPr>
          <w:sz w:val="17"/>
          <w:szCs w:val="17"/>
          <w:lang w:val="nl-BE"/>
        </w:rPr>
        <w:t>36</w:t>
      </w:r>
    </w:p>
    <w:p w:rsidR="00165A2C" w:rsidRPr="00165A2C" w:rsidRDefault="00165A2C" w:rsidP="00165A2C">
      <w:pPr>
        <w:pStyle w:val="Default"/>
        <w:rPr>
          <w:color w:val="auto"/>
          <w:sz w:val="17"/>
          <w:szCs w:val="17"/>
          <w:lang w:val="nl-BE"/>
        </w:rPr>
      </w:pPr>
      <w:r w:rsidRPr="00165A2C">
        <w:rPr>
          <w:color w:val="auto"/>
          <w:sz w:val="17"/>
          <w:szCs w:val="17"/>
          <w:lang w:val="nl-BE"/>
        </w:rPr>
        <w:t>2.7.Locatiecodes ..</w:t>
      </w:r>
      <w:r w:rsidRPr="00165A2C">
        <w:rPr>
          <w:sz w:val="17"/>
          <w:szCs w:val="17"/>
          <w:lang w:val="nl-BE"/>
        </w:rPr>
        <w:t>40</w:t>
      </w:r>
    </w:p>
    <w:p w:rsidR="00165A2C" w:rsidRPr="00165A2C" w:rsidRDefault="00165A2C" w:rsidP="00165A2C">
      <w:pPr>
        <w:pStyle w:val="Default"/>
        <w:rPr>
          <w:color w:val="auto"/>
          <w:sz w:val="17"/>
          <w:szCs w:val="17"/>
          <w:lang w:val="nl-BE"/>
        </w:rPr>
      </w:pPr>
      <w:r w:rsidRPr="00165A2C">
        <w:rPr>
          <w:color w:val="auto"/>
          <w:sz w:val="17"/>
          <w:szCs w:val="17"/>
          <w:lang w:val="nl-BE"/>
        </w:rPr>
        <w:t>2.7.1.Data-elementen ..</w:t>
      </w:r>
      <w:r w:rsidRPr="00165A2C">
        <w:rPr>
          <w:sz w:val="17"/>
          <w:szCs w:val="17"/>
          <w:lang w:val="nl-BE"/>
        </w:rPr>
        <w:t>40</w:t>
      </w:r>
    </w:p>
    <w:p w:rsidR="00165A2C" w:rsidRPr="00165A2C" w:rsidRDefault="00165A2C" w:rsidP="00165A2C">
      <w:pPr>
        <w:pStyle w:val="Default"/>
        <w:rPr>
          <w:color w:val="auto"/>
          <w:sz w:val="17"/>
          <w:szCs w:val="17"/>
          <w:lang w:val="nl-BE"/>
        </w:rPr>
      </w:pPr>
      <w:r w:rsidRPr="00165A2C">
        <w:rPr>
          <w:color w:val="auto"/>
          <w:sz w:val="17"/>
          <w:szCs w:val="17"/>
          <w:lang w:val="nl-BE"/>
        </w:rPr>
        <w:t>2.7.2.Voorbeeld ..</w:t>
      </w:r>
      <w:r w:rsidRPr="00165A2C">
        <w:rPr>
          <w:sz w:val="17"/>
          <w:szCs w:val="17"/>
          <w:lang w:val="nl-BE"/>
        </w:rPr>
        <w:t>41</w:t>
      </w:r>
    </w:p>
    <w:p w:rsidR="00165A2C" w:rsidRPr="00165A2C" w:rsidRDefault="00165A2C" w:rsidP="00165A2C">
      <w:pPr>
        <w:pStyle w:val="Default"/>
        <w:rPr>
          <w:color w:val="auto"/>
          <w:sz w:val="17"/>
          <w:szCs w:val="17"/>
          <w:lang w:val="nl-BE"/>
        </w:rPr>
      </w:pPr>
      <w:r w:rsidRPr="00165A2C">
        <w:rPr>
          <w:b/>
          <w:bCs/>
          <w:color w:val="auto"/>
          <w:sz w:val="17"/>
          <w:szCs w:val="17"/>
          <w:lang w:val="nl-BE"/>
        </w:rPr>
        <w:t>Afkortingen</w:t>
      </w:r>
    </w:p>
    <w:p w:rsidR="00165A2C" w:rsidRPr="00165A2C" w:rsidRDefault="00165A2C" w:rsidP="00165A2C">
      <w:pPr>
        <w:pStyle w:val="Default"/>
        <w:rPr>
          <w:color w:val="auto"/>
          <w:sz w:val="17"/>
          <w:szCs w:val="17"/>
          <w:lang w:val="nl-BE"/>
        </w:rPr>
      </w:pPr>
      <w:r w:rsidRPr="00165A2C">
        <w:rPr>
          <w:b/>
          <w:bCs/>
          <w:color w:val="auto"/>
          <w:sz w:val="17"/>
          <w:szCs w:val="17"/>
          <w:lang w:val="nl-BE"/>
        </w:rPr>
        <w:t>Aanhangsels Handleidingen voor de toepassing van berichten</w:t>
      </w:r>
    </w:p>
    <w:p w:rsidR="00165A2C" w:rsidRPr="00165A2C" w:rsidRDefault="00165A2C" w:rsidP="00165A2C">
      <w:pPr>
        <w:pStyle w:val="Default"/>
        <w:rPr>
          <w:color w:val="auto"/>
          <w:sz w:val="17"/>
          <w:szCs w:val="17"/>
          <w:lang w:val="nl-BE"/>
        </w:rPr>
      </w:pPr>
      <w:r w:rsidRPr="00165A2C">
        <w:rPr>
          <w:color w:val="auto"/>
          <w:sz w:val="17"/>
          <w:szCs w:val="17"/>
          <w:lang w:val="nl-BE"/>
        </w:rPr>
        <w:t>Aanhangsel 1 Rapportering over (gevaarlijke) goederen (IFTDGN) — ERINOT</w:t>
      </w:r>
    </w:p>
    <w:p w:rsidR="00165A2C" w:rsidRPr="00165A2C" w:rsidRDefault="00165A2C" w:rsidP="00165A2C">
      <w:pPr>
        <w:pStyle w:val="Default"/>
        <w:rPr>
          <w:color w:val="auto"/>
          <w:sz w:val="17"/>
          <w:szCs w:val="17"/>
          <w:lang w:val="nl-BE"/>
        </w:rPr>
      </w:pPr>
      <w:r w:rsidRPr="00165A2C">
        <w:rPr>
          <w:color w:val="auto"/>
          <w:sz w:val="17"/>
          <w:szCs w:val="17"/>
          <w:lang w:val="nl-BE"/>
        </w:rPr>
        <w:t>Aanhangsel 2 Lijst van passagiers en bemanningsleden (PAXLST)</w:t>
      </w:r>
    </w:p>
    <w:p w:rsidR="00165A2C" w:rsidRPr="00165A2C" w:rsidRDefault="00165A2C" w:rsidP="00165A2C">
      <w:pPr>
        <w:pStyle w:val="Default"/>
        <w:rPr>
          <w:color w:val="auto"/>
          <w:sz w:val="17"/>
          <w:szCs w:val="17"/>
          <w:lang w:val="nl-BE"/>
        </w:rPr>
      </w:pPr>
      <w:r w:rsidRPr="00165A2C">
        <w:rPr>
          <w:color w:val="auto"/>
          <w:sz w:val="17"/>
          <w:szCs w:val="17"/>
          <w:lang w:val="nl-BE"/>
        </w:rPr>
        <w:t>Aanhangsel 3 ERINOT-antwoord- en -ontvangstbericht (APERAK) — ERIRSP</w:t>
      </w:r>
    </w:p>
    <w:p w:rsidR="00165A2C" w:rsidRPr="00165A2C" w:rsidRDefault="00165A2C" w:rsidP="00165A2C">
      <w:pPr>
        <w:pStyle w:val="Default"/>
        <w:rPr>
          <w:color w:val="auto"/>
          <w:sz w:val="17"/>
          <w:szCs w:val="17"/>
          <w:lang w:val="nl-BE"/>
        </w:rPr>
      </w:pPr>
      <w:r w:rsidRPr="00165A2C">
        <w:rPr>
          <w:color w:val="auto"/>
          <w:sz w:val="17"/>
          <w:szCs w:val="17"/>
          <w:lang w:val="nl-BE"/>
        </w:rPr>
        <w:t xml:space="preserve">Aanhangsel 4 Kadebeheer en havenaanmelding (BERMAN)1. DEEL 1: CONVENTIE VOOR DE HANDLEIDING VOOR DE TOEPASSING VAN BERICHTEN1.1. </w:t>
      </w:r>
      <w:r w:rsidRPr="00165A2C">
        <w:rPr>
          <w:b/>
          <w:bCs/>
          <w:color w:val="auto"/>
          <w:sz w:val="17"/>
          <w:szCs w:val="17"/>
          <w:lang w:val="nl-BE"/>
        </w:rPr>
        <w:t>Inleiding</w:t>
      </w:r>
    </w:p>
    <w:p w:rsidR="00165A2C" w:rsidRPr="00165A2C" w:rsidRDefault="00165A2C" w:rsidP="00165A2C">
      <w:pPr>
        <w:pStyle w:val="Default"/>
        <w:rPr>
          <w:color w:val="auto"/>
          <w:sz w:val="17"/>
          <w:szCs w:val="17"/>
          <w:lang w:val="nl-BE"/>
        </w:rPr>
      </w:pPr>
      <w:r w:rsidRPr="00165A2C">
        <w:rPr>
          <w:color w:val="auto"/>
          <w:sz w:val="17"/>
          <w:szCs w:val="17"/>
          <w:lang w:val="nl-BE"/>
        </w:rPr>
        <w:t>De technische specificaties definiëren de structuur van vier berichten voor elektronische scheepsrapportering in de binnenvaart op basis van de UN/EDIFACT-berichtstructuur (zie ook hoofdstuk 1.2) en indien nodig aangepast aan de binnenscheepvaart.</w:t>
      </w:r>
    </w:p>
    <w:p w:rsidR="00165A2C" w:rsidRPr="00165A2C" w:rsidRDefault="00165A2C" w:rsidP="00165A2C">
      <w:pPr>
        <w:pStyle w:val="Default"/>
        <w:rPr>
          <w:color w:val="auto"/>
          <w:sz w:val="19"/>
          <w:szCs w:val="19"/>
          <w:lang w:val="nl-BE"/>
        </w:rPr>
      </w:pPr>
      <w:r w:rsidRPr="00165A2C">
        <w:rPr>
          <w:color w:val="auto"/>
          <w:sz w:val="17"/>
          <w:szCs w:val="17"/>
          <w:lang w:val="nl-BE"/>
        </w:rPr>
        <w:t>Wanneer de nationale of internationale wetgeving elektronische scheepsrapportering voor de binnenvaart eist, dienen deze technische specificaties te worden toegepast.</w:t>
      </w:r>
      <w:r w:rsidRPr="00165A2C">
        <w:rPr>
          <w:color w:val="auto"/>
          <w:sz w:val="19"/>
          <w:szCs w:val="19"/>
          <w:lang w:val="nl-BE"/>
        </w:rPr>
        <w:t xml:space="preserve">6.3.2010 </w:t>
      </w:r>
      <w:r w:rsidRPr="00165A2C">
        <w:rPr>
          <w:color w:val="auto"/>
          <w:sz w:val="17"/>
          <w:szCs w:val="17"/>
          <w:lang w:val="nl-BE"/>
        </w:rPr>
        <w:t xml:space="preserve">NL </w:t>
      </w:r>
      <w:r w:rsidRPr="00165A2C">
        <w:rPr>
          <w:color w:val="auto"/>
          <w:sz w:val="19"/>
          <w:szCs w:val="19"/>
          <w:lang w:val="nl-BE"/>
        </w:rPr>
        <w:t xml:space="preserve">Publicatieblad van de Europese Unie L 57/5 </w:t>
      </w:r>
    </w:p>
    <w:p w:rsidR="00165A2C" w:rsidRPr="00165A2C" w:rsidRDefault="00165A2C" w:rsidP="00165A2C">
      <w:pPr>
        <w:pStyle w:val="Default"/>
        <w:pageBreakBefore/>
        <w:rPr>
          <w:color w:val="auto"/>
          <w:sz w:val="19"/>
          <w:szCs w:val="19"/>
          <w:lang w:val="nl-BE"/>
        </w:rPr>
      </w:pPr>
    </w:p>
    <w:p w:rsidR="00165A2C" w:rsidRPr="00165A2C" w:rsidRDefault="00165A2C" w:rsidP="00165A2C">
      <w:pPr>
        <w:pStyle w:val="Default"/>
        <w:rPr>
          <w:color w:val="auto"/>
          <w:sz w:val="17"/>
          <w:szCs w:val="17"/>
          <w:lang w:val="nl-BE"/>
        </w:rPr>
      </w:pPr>
      <w:r w:rsidRPr="00165A2C">
        <w:rPr>
          <w:color w:val="auto"/>
          <w:sz w:val="17"/>
          <w:szCs w:val="17"/>
          <w:lang w:val="nl-BE"/>
        </w:rPr>
        <w:t>De berichten zijn:</w:t>
      </w:r>
    </w:p>
    <w:p w:rsidR="00165A2C" w:rsidRPr="00165A2C" w:rsidRDefault="00165A2C" w:rsidP="00165A2C">
      <w:pPr>
        <w:pStyle w:val="Default"/>
        <w:spacing w:after="230"/>
        <w:rPr>
          <w:color w:val="auto"/>
          <w:sz w:val="17"/>
          <w:szCs w:val="17"/>
          <w:lang w:val="nl-BE"/>
        </w:rPr>
      </w:pPr>
      <w:r w:rsidRPr="00165A2C">
        <w:rPr>
          <w:color w:val="auto"/>
          <w:sz w:val="17"/>
          <w:szCs w:val="17"/>
          <w:lang w:val="nl-BE"/>
        </w:rPr>
        <w:t>1) Rapportering over (gevaarlijke) goederen (IFTDGN) — ERINOT</w:t>
      </w:r>
    </w:p>
    <w:p w:rsidR="00165A2C" w:rsidRPr="00165A2C" w:rsidRDefault="00165A2C" w:rsidP="00165A2C">
      <w:pPr>
        <w:pStyle w:val="Default"/>
        <w:spacing w:after="230"/>
        <w:rPr>
          <w:color w:val="auto"/>
          <w:sz w:val="17"/>
          <w:szCs w:val="17"/>
          <w:lang w:val="nl-BE"/>
        </w:rPr>
      </w:pPr>
      <w:r w:rsidRPr="00165A2C">
        <w:rPr>
          <w:color w:val="auto"/>
          <w:sz w:val="17"/>
          <w:szCs w:val="17"/>
          <w:lang w:val="nl-BE"/>
        </w:rPr>
        <w:t>2) Lijst van passagiers en bemanningsleden (PAXLST)</w:t>
      </w:r>
    </w:p>
    <w:p w:rsidR="00165A2C" w:rsidRPr="00165A2C" w:rsidRDefault="00165A2C" w:rsidP="00165A2C">
      <w:pPr>
        <w:pStyle w:val="Default"/>
        <w:spacing w:after="230"/>
        <w:rPr>
          <w:color w:val="auto"/>
          <w:sz w:val="17"/>
          <w:szCs w:val="17"/>
          <w:lang w:val="nl-BE"/>
        </w:rPr>
      </w:pPr>
      <w:r w:rsidRPr="00165A2C">
        <w:rPr>
          <w:color w:val="auto"/>
          <w:sz w:val="17"/>
          <w:szCs w:val="17"/>
          <w:lang w:val="nl-BE"/>
        </w:rPr>
        <w:t>3) ERINOT-antwoord- en -ontvangstbericht (APERAK) — ERIRSP</w:t>
      </w:r>
    </w:p>
    <w:p w:rsidR="00165A2C" w:rsidRPr="00165A2C" w:rsidRDefault="00165A2C" w:rsidP="00165A2C">
      <w:pPr>
        <w:pStyle w:val="Default"/>
        <w:rPr>
          <w:color w:val="auto"/>
          <w:sz w:val="17"/>
          <w:szCs w:val="17"/>
          <w:lang w:val="nl-BE"/>
        </w:rPr>
      </w:pPr>
      <w:r w:rsidRPr="00165A2C">
        <w:rPr>
          <w:color w:val="auto"/>
          <w:sz w:val="17"/>
          <w:szCs w:val="17"/>
          <w:lang w:val="nl-BE"/>
        </w:rPr>
        <w:t>4) Kadebeheer en havenaanmelding (BERMAN)</w:t>
      </w:r>
    </w:p>
    <w:p w:rsidR="00165A2C" w:rsidRPr="00165A2C" w:rsidRDefault="00165A2C" w:rsidP="00165A2C">
      <w:pPr>
        <w:pStyle w:val="Default"/>
        <w:rPr>
          <w:color w:val="auto"/>
          <w:sz w:val="17"/>
          <w:szCs w:val="17"/>
          <w:lang w:val="nl-BE"/>
        </w:rPr>
      </w:pPr>
    </w:p>
    <w:p w:rsidR="00165A2C" w:rsidRPr="00165A2C" w:rsidRDefault="00165A2C" w:rsidP="00165A2C">
      <w:pPr>
        <w:pStyle w:val="Default"/>
        <w:rPr>
          <w:color w:val="auto"/>
          <w:sz w:val="17"/>
          <w:szCs w:val="17"/>
          <w:lang w:val="nl-BE"/>
        </w:rPr>
      </w:pPr>
      <w:r w:rsidRPr="00165A2C">
        <w:rPr>
          <w:color w:val="auto"/>
          <w:sz w:val="17"/>
          <w:szCs w:val="17"/>
          <w:lang w:val="nl-BE"/>
        </w:rPr>
        <w:t>In de aanhangsels (Praktische handleidingen voor berichten) wordt het precieze gebruik van de berichten, de data-elementen en de codes vastgelegd om te garanderen dat deze berichten door iedereen op dezelfde wijze worden geïnterpreteerd en gebruikt.</w:t>
      </w:r>
    </w:p>
    <w:p w:rsidR="00165A2C" w:rsidRPr="00165A2C" w:rsidRDefault="00165A2C" w:rsidP="00165A2C">
      <w:pPr>
        <w:pStyle w:val="Default"/>
        <w:rPr>
          <w:color w:val="auto"/>
          <w:sz w:val="17"/>
          <w:szCs w:val="17"/>
          <w:lang w:val="nl-BE"/>
        </w:rPr>
      </w:pPr>
      <w:r w:rsidRPr="00165A2C">
        <w:rPr>
          <w:color w:val="auto"/>
          <w:sz w:val="17"/>
          <w:szCs w:val="17"/>
          <w:lang w:val="nl-BE"/>
        </w:rPr>
        <w:t xml:space="preserve">Het gebruik van XML-technologie is een andere mogelijkheid. De normalisatie van de definitie van XML-berichten voor de elektronische scheepsrapportering in de binnenvaart wordt behandeld door de relevante werkgroep die het comité bijstaat en die is opgericht als gevolg van artikel 7 van Richtlijn 91/672/EEG van de Raad van16 december 1991 inzake de wederzijdse erkenning van de nationale vaarbewijzen voor het besturen van schepen in het goederen- en personenvervoer over de binnenwateren.1.2. </w:t>
      </w:r>
      <w:r w:rsidRPr="00165A2C">
        <w:rPr>
          <w:b/>
          <w:bCs/>
          <w:color w:val="auto"/>
          <w:sz w:val="17"/>
          <w:szCs w:val="17"/>
          <w:lang w:val="nl-BE"/>
        </w:rPr>
        <w:t>Structuur UN/EDIFACT-bericht</w:t>
      </w:r>
    </w:p>
    <w:p w:rsidR="00165A2C" w:rsidRPr="00165A2C" w:rsidRDefault="00165A2C" w:rsidP="00165A2C">
      <w:pPr>
        <w:pStyle w:val="Default"/>
        <w:rPr>
          <w:color w:val="auto"/>
          <w:sz w:val="17"/>
          <w:szCs w:val="17"/>
          <w:lang w:val="nl-BE"/>
        </w:rPr>
      </w:pPr>
      <w:r w:rsidRPr="00165A2C">
        <w:rPr>
          <w:color w:val="auto"/>
          <w:sz w:val="17"/>
          <w:szCs w:val="17"/>
          <w:lang w:val="nl-BE"/>
        </w:rPr>
        <w:t>De volgende details zijn gebaseerd op ISO 9735.</w:t>
      </w:r>
    </w:p>
    <w:p w:rsidR="00165A2C" w:rsidRPr="00165A2C" w:rsidRDefault="00165A2C" w:rsidP="00165A2C">
      <w:pPr>
        <w:pStyle w:val="Default"/>
        <w:rPr>
          <w:color w:val="auto"/>
          <w:sz w:val="17"/>
          <w:szCs w:val="17"/>
          <w:lang w:val="nl-BE"/>
        </w:rPr>
      </w:pPr>
      <w:r w:rsidRPr="00165A2C">
        <w:rPr>
          <w:color w:val="auto"/>
          <w:sz w:val="17"/>
          <w:szCs w:val="17"/>
          <w:lang w:val="nl-BE"/>
        </w:rPr>
        <w:t>De UN/EDIFACT-berichten zijn samengesteld uit verschillende segmenten. De structuur van een bericht wordt beschreven in een boomdiagram dat de positie en de onderlinge relatie van segmenten en segmentgroepen aangeeft.</w:t>
      </w:r>
    </w:p>
    <w:p w:rsidR="00165A2C" w:rsidRPr="00165A2C" w:rsidRDefault="00165A2C" w:rsidP="00165A2C">
      <w:pPr>
        <w:pStyle w:val="Default"/>
        <w:rPr>
          <w:color w:val="auto"/>
          <w:sz w:val="17"/>
          <w:szCs w:val="17"/>
          <w:lang w:val="nl-BE"/>
        </w:rPr>
      </w:pPr>
      <w:r w:rsidRPr="00165A2C">
        <w:rPr>
          <w:color w:val="auto"/>
          <w:sz w:val="17"/>
          <w:szCs w:val="17"/>
          <w:lang w:val="nl-BE"/>
        </w:rPr>
        <w:t>Voor elk segment worden de data-elementen gedefinieerd die in een bericht zullen worden gebruikt. Sommige data-elementen worden gecombineerd tot samengestelde data-elementen. De berichten worden opgesteld volgens vaste syntactische regels zoals gedefinieerd in ISO 9735.</w:t>
      </w:r>
    </w:p>
    <w:p w:rsidR="00165A2C" w:rsidRPr="00165A2C" w:rsidRDefault="00165A2C" w:rsidP="00165A2C">
      <w:pPr>
        <w:pStyle w:val="Default"/>
        <w:rPr>
          <w:color w:val="auto"/>
          <w:sz w:val="17"/>
          <w:szCs w:val="17"/>
          <w:lang w:val="nl-BE"/>
        </w:rPr>
      </w:pPr>
      <w:r w:rsidRPr="00165A2C">
        <w:rPr>
          <w:color w:val="auto"/>
          <w:sz w:val="17"/>
          <w:szCs w:val="17"/>
          <w:lang w:val="nl-BE"/>
        </w:rPr>
        <w:t>Een segment en een data-element in een segment zijn ofwel verplicht ofwel facultatief. De verplichte segmenten en/of data-elementen bevatten belangrijke gegevens voor de ontvangende applicatie en dienen te worden ingevuld met zinvolle, met andere woorden, geldige gegevens. De facultatieve elementen hoeven niet noodzakelijk aanwezig te zijn in een bericht.</w:t>
      </w:r>
    </w:p>
    <w:p w:rsidR="00165A2C" w:rsidRPr="00165A2C" w:rsidRDefault="00165A2C" w:rsidP="00165A2C">
      <w:pPr>
        <w:pStyle w:val="Default"/>
        <w:rPr>
          <w:color w:val="auto"/>
          <w:sz w:val="17"/>
          <w:szCs w:val="17"/>
          <w:lang w:val="nl-BE"/>
        </w:rPr>
      </w:pPr>
      <w:r w:rsidRPr="00165A2C">
        <w:rPr>
          <w:color w:val="auto"/>
          <w:sz w:val="17"/>
          <w:szCs w:val="17"/>
          <w:lang w:val="nl-BE"/>
        </w:rPr>
        <w:t xml:space="preserve">Elk bericht start met twee of drie segmenten, de „uitwisselkop” of „interchange header” (UNB) en de „berichtenkop” of „message header” (UNH). Indien noodzakelijk wordt ook het „service string advice” (UNA) gebruikt als eerste segment om te definiëren welke tekenreeksen in het bericht gebruikt worden. Elk bericht eindigt met de segmenten „kenmerk einde bericht” of „message trailer” (UNT) en „kenmerk einde uitwisseling” of „interchange trailer” (UNZ). Zo maakt elk bericht deel uit van één uitwisseling en bevat een uitwisseling slechts één bericht.1.2.1. </w:t>
      </w:r>
      <w:r w:rsidRPr="00165A2C">
        <w:rPr>
          <w:i/>
          <w:iCs/>
          <w:color w:val="auto"/>
          <w:sz w:val="17"/>
          <w:szCs w:val="17"/>
          <w:lang w:val="nl-BE"/>
        </w:rPr>
        <w:t>Beschrijving van de segmenten en data-elementen</w:t>
      </w:r>
    </w:p>
    <w:p w:rsidR="00165A2C" w:rsidRPr="00165A2C" w:rsidRDefault="00165A2C" w:rsidP="00165A2C">
      <w:pPr>
        <w:pStyle w:val="Default"/>
        <w:rPr>
          <w:color w:val="auto"/>
          <w:sz w:val="17"/>
          <w:szCs w:val="17"/>
          <w:lang w:val="nl-BE"/>
        </w:rPr>
      </w:pPr>
      <w:r w:rsidRPr="00165A2C">
        <w:rPr>
          <w:color w:val="auto"/>
          <w:sz w:val="17"/>
          <w:szCs w:val="17"/>
          <w:lang w:val="nl-BE"/>
        </w:rPr>
        <w:t>In de beschrijvingen van het bericht worden de volgende indicatoren gebruikt:</w:t>
      </w:r>
    </w:p>
    <w:p w:rsidR="00165A2C" w:rsidRPr="00165A2C" w:rsidRDefault="00165A2C" w:rsidP="00165A2C">
      <w:pPr>
        <w:pStyle w:val="Default"/>
        <w:rPr>
          <w:color w:val="auto"/>
          <w:sz w:val="17"/>
          <w:szCs w:val="17"/>
          <w:lang w:val="nl-BE"/>
        </w:rPr>
      </w:pPr>
      <w:r w:rsidRPr="00165A2C">
        <w:rPr>
          <w:b/>
          <w:bCs/>
          <w:color w:val="auto"/>
          <w:sz w:val="17"/>
          <w:szCs w:val="17"/>
          <w:lang w:val="nl-BE"/>
        </w:rPr>
        <w:t xml:space="preserve">Kolom 1 </w:t>
      </w:r>
      <w:r w:rsidRPr="00165A2C">
        <w:rPr>
          <w:color w:val="auto"/>
          <w:sz w:val="17"/>
          <w:szCs w:val="17"/>
          <w:lang w:val="nl-BE"/>
        </w:rPr>
        <w:t>bevat de naam in de vorm van een acroniem (TAG) van de segmentgroep, zoals weergegeven in de hiërarchie van segmentnamen op hogere niveaus. Deze indicatie is afgeleid van het boomdiagram.</w:t>
      </w:r>
    </w:p>
    <w:p w:rsidR="00165A2C" w:rsidRPr="00165A2C" w:rsidRDefault="00165A2C" w:rsidP="00165A2C">
      <w:pPr>
        <w:pStyle w:val="Default"/>
        <w:rPr>
          <w:color w:val="auto"/>
          <w:sz w:val="17"/>
          <w:szCs w:val="17"/>
          <w:lang w:val="nl-BE"/>
        </w:rPr>
      </w:pPr>
      <w:r w:rsidRPr="00165A2C">
        <w:rPr>
          <w:b/>
          <w:bCs/>
          <w:color w:val="auto"/>
          <w:sz w:val="17"/>
          <w:szCs w:val="17"/>
          <w:lang w:val="nl-BE"/>
        </w:rPr>
        <w:t xml:space="preserve">Kolom 2 </w:t>
      </w:r>
      <w:r w:rsidRPr="00165A2C">
        <w:rPr>
          <w:color w:val="auto"/>
          <w:sz w:val="17"/>
          <w:szCs w:val="17"/>
          <w:lang w:val="nl-BE"/>
        </w:rPr>
        <w:t>bevat de naam in de vorm van het acroniem (TAG) van het segment, het nummer van het samengestelde data-element en het nummer van het data-element.</w:t>
      </w:r>
    </w:p>
    <w:p w:rsidR="00165A2C" w:rsidRPr="00165A2C" w:rsidRDefault="00165A2C" w:rsidP="00165A2C">
      <w:pPr>
        <w:pStyle w:val="Default"/>
        <w:rPr>
          <w:color w:val="auto"/>
          <w:sz w:val="17"/>
          <w:szCs w:val="17"/>
          <w:lang w:val="nl-BE"/>
        </w:rPr>
      </w:pPr>
      <w:r w:rsidRPr="00165A2C">
        <w:rPr>
          <w:b/>
          <w:bCs/>
          <w:color w:val="auto"/>
          <w:sz w:val="17"/>
          <w:szCs w:val="17"/>
          <w:lang w:val="nl-BE"/>
        </w:rPr>
        <w:t xml:space="preserve">Kolom 3 </w:t>
      </w:r>
      <w:r w:rsidRPr="00165A2C">
        <w:rPr>
          <w:color w:val="auto"/>
          <w:sz w:val="17"/>
          <w:szCs w:val="17"/>
          <w:lang w:val="nl-BE"/>
        </w:rPr>
        <w:t>geeft het niveau aan waarop het segment zich bevindt in het boomdiagram.</w:t>
      </w:r>
    </w:p>
    <w:p w:rsidR="00165A2C" w:rsidRPr="00165A2C" w:rsidRDefault="00165A2C" w:rsidP="00165A2C">
      <w:pPr>
        <w:pStyle w:val="Default"/>
        <w:rPr>
          <w:color w:val="auto"/>
          <w:sz w:val="17"/>
          <w:szCs w:val="17"/>
          <w:lang w:val="nl-BE"/>
        </w:rPr>
      </w:pPr>
      <w:r w:rsidRPr="00165A2C">
        <w:rPr>
          <w:b/>
          <w:bCs/>
          <w:color w:val="auto"/>
          <w:sz w:val="17"/>
          <w:szCs w:val="17"/>
          <w:lang w:val="nl-BE"/>
        </w:rPr>
        <w:t xml:space="preserve">Kolom 4 </w:t>
      </w:r>
      <w:r w:rsidRPr="00165A2C">
        <w:rPr>
          <w:color w:val="auto"/>
          <w:sz w:val="17"/>
          <w:szCs w:val="17"/>
          <w:lang w:val="nl-BE"/>
        </w:rPr>
        <w:t>geeft aan of het segment of data-element verplicht (M) is of facultatief (C).</w:t>
      </w:r>
    </w:p>
    <w:p w:rsidR="00165A2C" w:rsidRPr="00165A2C" w:rsidRDefault="00165A2C" w:rsidP="00165A2C">
      <w:pPr>
        <w:pStyle w:val="Default"/>
        <w:rPr>
          <w:color w:val="auto"/>
          <w:sz w:val="17"/>
          <w:szCs w:val="17"/>
          <w:lang w:val="nl-BE"/>
        </w:rPr>
      </w:pPr>
      <w:r w:rsidRPr="00165A2C">
        <w:rPr>
          <w:b/>
          <w:bCs/>
          <w:color w:val="auto"/>
          <w:sz w:val="17"/>
          <w:szCs w:val="17"/>
          <w:lang w:val="nl-BE"/>
        </w:rPr>
        <w:t xml:space="preserve">Kolom 5 </w:t>
      </w:r>
      <w:r w:rsidRPr="00165A2C">
        <w:rPr>
          <w:color w:val="auto"/>
          <w:sz w:val="17"/>
          <w:szCs w:val="17"/>
          <w:lang w:val="nl-BE"/>
        </w:rPr>
        <w:t>definieert het formaat van het data-element.</w:t>
      </w:r>
    </w:p>
    <w:p w:rsidR="00165A2C" w:rsidRPr="00165A2C" w:rsidRDefault="00165A2C" w:rsidP="00165A2C">
      <w:pPr>
        <w:pStyle w:val="Default"/>
        <w:rPr>
          <w:color w:val="auto"/>
          <w:sz w:val="17"/>
          <w:szCs w:val="17"/>
          <w:lang w:val="nl-BE"/>
        </w:rPr>
      </w:pPr>
      <w:r w:rsidRPr="00165A2C">
        <w:rPr>
          <w:b/>
          <w:bCs/>
          <w:color w:val="auto"/>
          <w:sz w:val="17"/>
          <w:szCs w:val="17"/>
          <w:lang w:val="nl-BE"/>
        </w:rPr>
        <w:t xml:space="preserve">Kolom 6 </w:t>
      </w:r>
      <w:r w:rsidRPr="00165A2C">
        <w:rPr>
          <w:color w:val="auto"/>
          <w:sz w:val="17"/>
          <w:szCs w:val="17"/>
          <w:lang w:val="nl-BE"/>
        </w:rPr>
        <w:t>geeft de UN/EDIFACT-naam van het data-element. De namen van de segmenten worden in vetgedrukte hoofdletters geschreven, de namen van de samengestelde data-elementen worden in gewone hoofdletters geschreven en de namen van data-elementen worden in gewone kleine letters geschreven.</w:t>
      </w:r>
    </w:p>
    <w:p w:rsidR="00165A2C" w:rsidRPr="00165A2C" w:rsidRDefault="00165A2C" w:rsidP="00165A2C">
      <w:pPr>
        <w:pStyle w:val="Default"/>
        <w:rPr>
          <w:color w:val="auto"/>
          <w:sz w:val="19"/>
          <w:szCs w:val="19"/>
          <w:lang w:val="nl-BE"/>
        </w:rPr>
      </w:pPr>
      <w:r w:rsidRPr="00165A2C">
        <w:rPr>
          <w:b/>
          <w:bCs/>
          <w:color w:val="auto"/>
          <w:sz w:val="17"/>
          <w:szCs w:val="17"/>
          <w:lang w:val="nl-BE"/>
        </w:rPr>
        <w:t xml:space="preserve">Kolom 7 </w:t>
      </w:r>
      <w:r w:rsidRPr="00165A2C">
        <w:rPr>
          <w:color w:val="auto"/>
          <w:sz w:val="17"/>
          <w:szCs w:val="17"/>
          <w:lang w:val="nl-BE"/>
        </w:rPr>
        <w:t>geeft een beschrijving van de data-elementen (velden). Wanneer u een vaste waarde dient te gebruiken, wordt die waarde tussen aanhalingstekens vermeld.</w:t>
      </w:r>
      <w:r w:rsidRPr="00165A2C">
        <w:rPr>
          <w:color w:val="auto"/>
          <w:sz w:val="19"/>
          <w:szCs w:val="19"/>
          <w:lang w:val="nl-BE"/>
        </w:rPr>
        <w:t xml:space="preserve">L 57/6 </w:t>
      </w:r>
      <w:r w:rsidRPr="00165A2C">
        <w:rPr>
          <w:color w:val="auto"/>
          <w:sz w:val="17"/>
          <w:szCs w:val="17"/>
          <w:lang w:val="nl-BE"/>
        </w:rPr>
        <w:t xml:space="preserve">NL </w:t>
      </w:r>
      <w:r w:rsidRPr="00165A2C">
        <w:rPr>
          <w:color w:val="auto"/>
          <w:sz w:val="19"/>
          <w:szCs w:val="19"/>
          <w:lang w:val="nl-BE"/>
        </w:rPr>
        <w:t xml:space="preserve">Publicatieblad van de Europese Unie 6.3.2010 </w:t>
      </w:r>
    </w:p>
    <w:p w:rsidR="00165A2C" w:rsidRPr="00165A2C" w:rsidRDefault="00165A2C" w:rsidP="00165A2C">
      <w:pPr>
        <w:pStyle w:val="Default"/>
        <w:pageBreakBefore/>
        <w:rPr>
          <w:color w:val="auto"/>
          <w:sz w:val="17"/>
          <w:szCs w:val="17"/>
          <w:lang w:val="nl-BE"/>
        </w:rPr>
      </w:pPr>
      <w:r w:rsidRPr="00165A2C">
        <w:rPr>
          <w:color w:val="auto"/>
          <w:sz w:val="17"/>
          <w:szCs w:val="17"/>
          <w:lang w:val="nl-BE"/>
        </w:rPr>
        <w:lastRenderedPageBreak/>
        <w:t xml:space="preserve">1.2.2. </w:t>
      </w:r>
      <w:r w:rsidRPr="00165A2C">
        <w:rPr>
          <w:i/>
          <w:iCs/>
          <w:color w:val="auto"/>
          <w:sz w:val="17"/>
          <w:szCs w:val="17"/>
          <w:lang w:val="nl-BE"/>
        </w:rPr>
        <w:t>Syntaxis</w:t>
      </w:r>
    </w:p>
    <w:p w:rsidR="00165A2C" w:rsidRPr="00165A2C" w:rsidRDefault="00165A2C" w:rsidP="00165A2C">
      <w:pPr>
        <w:pStyle w:val="Default"/>
        <w:rPr>
          <w:color w:val="auto"/>
          <w:sz w:val="17"/>
          <w:szCs w:val="17"/>
          <w:lang w:val="nl-BE"/>
        </w:rPr>
      </w:pPr>
      <w:r w:rsidRPr="00165A2C">
        <w:rPr>
          <w:color w:val="auto"/>
          <w:sz w:val="17"/>
          <w:szCs w:val="17"/>
          <w:lang w:val="nl-BE"/>
        </w:rPr>
        <w:t>De volledige beschrijving van de data-elementen in de servicesegmenten maakt deel uit van ISO 7372 (TDED) Overzicht van data-elementen voor de handel.1.2.2.1. Tekenreeksen</w:t>
      </w:r>
    </w:p>
    <w:p w:rsidR="00165A2C" w:rsidRPr="00165A2C" w:rsidRDefault="00165A2C" w:rsidP="00165A2C">
      <w:pPr>
        <w:pStyle w:val="Default"/>
        <w:rPr>
          <w:color w:val="auto"/>
          <w:sz w:val="17"/>
          <w:szCs w:val="17"/>
          <w:lang w:val="nl-BE"/>
        </w:rPr>
      </w:pPr>
      <w:r w:rsidRPr="00165A2C">
        <w:rPr>
          <w:color w:val="auto"/>
          <w:sz w:val="17"/>
          <w:szCs w:val="17"/>
          <w:lang w:val="nl-BE"/>
        </w:rPr>
        <w:t>Voor de tekens in de onderstaande reeksen dienen de 7-bitscodes in de basis codetabellen in ISO 646 gebruikt te worden, tenzij de uitwisselende partners in een UNA-segment specifieke afspraken hebben gemaakt over de overeenstemmende 8-bitscodes in ISO 6937 en ISO 8859 of andere bitscodes.</w:t>
      </w:r>
    </w:p>
    <w:tbl>
      <w:tblPr>
        <w:tblW w:w="0" w:type="auto"/>
        <w:tblBorders>
          <w:top w:val="nil"/>
          <w:left w:val="nil"/>
          <w:bottom w:val="nil"/>
          <w:right w:val="nil"/>
        </w:tblBorders>
        <w:tblLayout w:type="fixed"/>
        <w:tblLook w:val="0000"/>
      </w:tblPr>
      <w:tblGrid>
        <w:gridCol w:w="2475"/>
        <w:gridCol w:w="1237"/>
        <w:gridCol w:w="1238"/>
        <w:gridCol w:w="2475"/>
      </w:tblGrid>
      <w:tr w:rsidR="00165A2C">
        <w:tblPrEx>
          <w:tblCellMar>
            <w:top w:w="0" w:type="dxa"/>
            <w:bottom w:w="0" w:type="dxa"/>
          </w:tblCellMar>
        </w:tblPrEx>
        <w:trPr>
          <w:trHeight w:val="90"/>
        </w:trPr>
        <w:tc>
          <w:tcPr>
            <w:tcW w:w="2475" w:type="dxa"/>
          </w:tcPr>
          <w:p w:rsidR="00165A2C" w:rsidRPr="00165A2C" w:rsidRDefault="00165A2C">
            <w:pPr>
              <w:pStyle w:val="Default"/>
              <w:rPr>
                <w:sz w:val="15"/>
                <w:szCs w:val="15"/>
                <w:lang w:val="nl-BE"/>
              </w:rPr>
            </w:pPr>
            <w:r w:rsidRPr="00165A2C">
              <w:rPr>
                <w:color w:val="auto"/>
                <w:sz w:val="17"/>
                <w:szCs w:val="17"/>
                <w:lang w:val="nl-BE"/>
              </w:rPr>
              <w:t>Tekenreeks van niveau A:</w:t>
            </w:r>
            <w:r w:rsidRPr="00165A2C">
              <w:rPr>
                <w:sz w:val="15"/>
                <w:szCs w:val="15"/>
                <w:lang w:val="nl-BE"/>
              </w:rPr>
              <w:t>Omschrijving</w:t>
            </w:r>
          </w:p>
        </w:tc>
        <w:tc>
          <w:tcPr>
            <w:tcW w:w="2475" w:type="dxa"/>
            <w:gridSpan w:val="2"/>
          </w:tcPr>
          <w:p w:rsidR="00165A2C" w:rsidRDefault="00165A2C">
            <w:pPr>
              <w:pStyle w:val="Default"/>
              <w:rPr>
                <w:sz w:val="15"/>
                <w:szCs w:val="15"/>
              </w:rPr>
            </w:pPr>
            <w:r>
              <w:rPr>
                <w:sz w:val="15"/>
                <w:szCs w:val="15"/>
              </w:rPr>
              <w:t>Code</w:t>
            </w:r>
          </w:p>
        </w:tc>
        <w:tc>
          <w:tcPr>
            <w:tcW w:w="2475" w:type="dxa"/>
          </w:tcPr>
          <w:p w:rsidR="00165A2C" w:rsidRDefault="00165A2C">
            <w:pPr>
              <w:pStyle w:val="Default"/>
              <w:rPr>
                <w:sz w:val="15"/>
                <w:szCs w:val="15"/>
              </w:rPr>
            </w:pPr>
            <w:proofErr w:type="spellStart"/>
            <w:r>
              <w:rPr>
                <w:sz w:val="15"/>
                <w:szCs w:val="15"/>
              </w:rPr>
              <w:t>Opmerkingen</w:t>
            </w:r>
            <w:proofErr w:type="spellEnd"/>
          </w:p>
        </w:tc>
      </w:tr>
      <w:tr w:rsidR="00165A2C">
        <w:tblPrEx>
          <w:tblCellMar>
            <w:top w:w="0" w:type="dxa"/>
            <w:bottom w:w="0" w:type="dxa"/>
          </w:tblCellMar>
        </w:tblPrEx>
        <w:trPr>
          <w:trHeight w:val="103"/>
        </w:trPr>
        <w:tc>
          <w:tcPr>
            <w:tcW w:w="3712" w:type="dxa"/>
            <w:gridSpan w:val="2"/>
          </w:tcPr>
          <w:p w:rsidR="00165A2C" w:rsidRDefault="00165A2C">
            <w:pPr>
              <w:pStyle w:val="Default"/>
              <w:rPr>
                <w:sz w:val="17"/>
                <w:szCs w:val="17"/>
              </w:rPr>
            </w:pPr>
            <w:proofErr w:type="spellStart"/>
            <w:r>
              <w:rPr>
                <w:sz w:val="17"/>
                <w:szCs w:val="17"/>
              </w:rPr>
              <w:t>Letters</w:t>
            </w:r>
            <w:proofErr w:type="spellEnd"/>
          </w:p>
        </w:tc>
        <w:tc>
          <w:tcPr>
            <w:tcW w:w="3712" w:type="dxa"/>
            <w:gridSpan w:val="2"/>
          </w:tcPr>
          <w:p w:rsidR="00165A2C" w:rsidRDefault="00165A2C">
            <w:pPr>
              <w:pStyle w:val="Default"/>
              <w:rPr>
                <w:sz w:val="17"/>
                <w:szCs w:val="17"/>
              </w:rPr>
            </w:pPr>
            <w:proofErr w:type="spellStart"/>
            <w:r>
              <w:rPr>
                <w:sz w:val="17"/>
                <w:szCs w:val="17"/>
              </w:rPr>
              <w:t>Hoofdletters</w:t>
            </w:r>
            <w:proofErr w:type="spellEnd"/>
            <w:r>
              <w:rPr>
                <w:sz w:val="17"/>
                <w:szCs w:val="17"/>
              </w:rPr>
              <w:t xml:space="preserve"> A </w:t>
            </w:r>
            <w:proofErr w:type="spellStart"/>
            <w:r>
              <w:rPr>
                <w:sz w:val="17"/>
                <w:szCs w:val="17"/>
              </w:rPr>
              <w:t>tot</w:t>
            </w:r>
            <w:proofErr w:type="spellEnd"/>
            <w:r>
              <w:rPr>
                <w:sz w:val="17"/>
                <w:szCs w:val="17"/>
              </w:rPr>
              <w:t xml:space="preserve"> Z</w:t>
            </w:r>
          </w:p>
        </w:tc>
      </w:tr>
      <w:tr w:rsidR="00165A2C">
        <w:tblPrEx>
          <w:tblCellMar>
            <w:top w:w="0" w:type="dxa"/>
            <w:bottom w:w="0" w:type="dxa"/>
          </w:tblCellMar>
        </w:tblPrEx>
        <w:trPr>
          <w:trHeight w:val="103"/>
        </w:trPr>
        <w:tc>
          <w:tcPr>
            <w:tcW w:w="3712" w:type="dxa"/>
            <w:gridSpan w:val="2"/>
          </w:tcPr>
          <w:p w:rsidR="00165A2C" w:rsidRDefault="00165A2C">
            <w:pPr>
              <w:pStyle w:val="Default"/>
              <w:rPr>
                <w:sz w:val="17"/>
                <w:szCs w:val="17"/>
              </w:rPr>
            </w:pPr>
            <w:proofErr w:type="spellStart"/>
            <w:r>
              <w:rPr>
                <w:sz w:val="17"/>
                <w:szCs w:val="17"/>
              </w:rPr>
              <w:t>Cijfers</w:t>
            </w:r>
            <w:proofErr w:type="spellEnd"/>
          </w:p>
        </w:tc>
        <w:tc>
          <w:tcPr>
            <w:tcW w:w="3712" w:type="dxa"/>
            <w:gridSpan w:val="2"/>
          </w:tcPr>
          <w:p w:rsidR="00165A2C" w:rsidRDefault="00165A2C">
            <w:pPr>
              <w:pStyle w:val="Default"/>
              <w:rPr>
                <w:sz w:val="17"/>
                <w:szCs w:val="17"/>
              </w:rPr>
            </w:pPr>
            <w:r>
              <w:rPr>
                <w:sz w:val="17"/>
                <w:szCs w:val="17"/>
              </w:rPr>
              <w:t xml:space="preserve">0 </w:t>
            </w:r>
            <w:proofErr w:type="spellStart"/>
            <w:r>
              <w:rPr>
                <w:sz w:val="17"/>
                <w:szCs w:val="17"/>
              </w:rPr>
              <w:t>tot</w:t>
            </w:r>
            <w:proofErr w:type="spellEnd"/>
            <w:r>
              <w:rPr>
                <w:sz w:val="17"/>
                <w:szCs w:val="17"/>
              </w:rPr>
              <w:t xml:space="preserve"> 9</w:t>
            </w:r>
          </w:p>
        </w:tc>
      </w:tr>
      <w:tr w:rsidR="00165A2C">
        <w:tblPrEx>
          <w:tblCellMar>
            <w:top w:w="0" w:type="dxa"/>
            <w:bottom w:w="0" w:type="dxa"/>
          </w:tblCellMar>
        </w:tblPrEx>
        <w:trPr>
          <w:trHeight w:val="103"/>
        </w:trPr>
        <w:tc>
          <w:tcPr>
            <w:tcW w:w="7425" w:type="dxa"/>
            <w:gridSpan w:val="4"/>
          </w:tcPr>
          <w:p w:rsidR="00165A2C" w:rsidRDefault="00165A2C">
            <w:pPr>
              <w:pStyle w:val="Default"/>
              <w:rPr>
                <w:sz w:val="17"/>
                <w:szCs w:val="17"/>
              </w:rPr>
            </w:pPr>
            <w:proofErr w:type="spellStart"/>
            <w:r>
              <w:rPr>
                <w:sz w:val="17"/>
                <w:szCs w:val="17"/>
              </w:rPr>
              <w:t>Spatie</w:t>
            </w:r>
            <w:proofErr w:type="spellEnd"/>
          </w:p>
        </w:tc>
      </w:tr>
      <w:tr w:rsidR="00165A2C">
        <w:tblPrEx>
          <w:tblCellMar>
            <w:top w:w="0" w:type="dxa"/>
            <w:bottom w:w="0" w:type="dxa"/>
          </w:tblCellMar>
        </w:tblPrEx>
        <w:trPr>
          <w:trHeight w:val="103"/>
        </w:trPr>
        <w:tc>
          <w:tcPr>
            <w:tcW w:w="3712" w:type="dxa"/>
            <w:gridSpan w:val="2"/>
          </w:tcPr>
          <w:p w:rsidR="00165A2C" w:rsidRDefault="00165A2C">
            <w:pPr>
              <w:pStyle w:val="Default"/>
              <w:rPr>
                <w:sz w:val="17"/>
                <w:szCs w:val="17"/>
              </w:rPr>
            </w:pPr>
            <w:r>
              <w:rPr>
                <w:sz w:val="17"/>
                <w:szCs w:val="17"/>
              </w:rPr>
              <w:t>Punt</w:t>
            </w:r>
          </w:p>
        </w:tc>
        <w:tc>
          <w:tcPr>
            <w:tcW w:w="3712" w:type="dxa"/>
            <w:gridSpan w:val="2"/>
          </w:tcPr>
          <w:p w:rsidR="00165A2C" w:rsidRDefault="00165A2C">
            <w:pPr>
              <w:pStyle w:val="Default"/>
              <w:rPr>
                <w:sz w:val="17"/>
                <w:szCs w:val="17"/>
              </w:rPr>
            </w:pPr>
            <w:r>
              <w:rPr>
                <w:sz w:val="17"/>
                <w:szCs w:val="17"/>
              </w:rPr>
              <w:t>.</w:t>
            </w:r>
          </w:p>
        </w:tc>
      </w:tr>
      <w:tr w:rsidR="00165A2C">
        <w:tblPrEx>
          <w:tblCellMar>
            <w:top w:w="0" w:type="dxa"/>
            <w:bottom w:w="0" w:type="dxa"/>
          </w:tblCellMar>
        </w:tblPrEx>
        <w:trPr>
          <w:trHeight w:val="103"/>
        </w:trPr>
        <w:tc>
          <w:tcPr>
            <w:tcW w:w="3712" w:type="dxa"/>
            <w:gridSpan w:val="2"/>
          </w:tcPr>
          <w:p w:rsidR="00165A2C" w:rsidRDefault="00165A2C">
            <w:pPr>
              <w:pStyle w:val="Default"/>
              <w:rPr>
                <w:sz w:val="17"/>
                <w:szCs w:val="17"/>
              </w:rPr>
            </w:pPr>
            <w:proofErr w:type="spellStart"/>
            <w:r>
              <w:rPr>
                <w:sz w:val="17"/>
                <w:szCs w:val="17"/>
              </w:rPr>
              <w:t>Komma</w:t>
            </w:r>
            <w:proofErr w:type="spellEnd"/>
          </w:p>
        </w:tc>
        <w:tc>
          <w:tcPr>
            <w:tcW w:w="3712" w:type="dxa"/>
            <w:gridSpan w:val="2"/>
          </w:tcPr>
          <w:p w:rsidR="00165A2C" w:rsidRDefault="00165A2C">
            <w:pPr>
              <w:pStyle w:val="Default"/>
              <w:rPr>
                <w:sz w:val="17"/>
                <w:szCs w:val="17"/>
              </w:rPr>
            </w:pPr>
            <w:r>
              <w:rPr>
                <w:sz w:val="17"/>
                <w:szCs w:val="17"/>
              </w:rPr>
              <w:t>,</w:t>
            </w:r>
          </w:p>
        </w:tc>
      </w:tr>
      <w:tr w:rsidR="00165A2C">
        <w:tblPrEx>
          <w:tblCellMar>
            <w:top w:w="0" w:type="dxa"/>
            <w:bottom w:w="0" w:type="dxa"/>
          </w:tblCellMar>
        </w:tblPrEx>
        <w:trPr>
          <w:trHeight w:val="103"/>
        </w:trPr>
        <w:tc>
          <w:tcPr>
            <w:tcW w:w="3712" w:type="dxa"/>
            <w:gridSpan w:val="2"/>
          </w:tcPr>
          <w:p w:rsidR="00165A2C" w:rsidRDefault="00165A2C">
            <w:pPr>
              <w:pStyle w:val="Default"/>
              <w:rPr>
                <w:sz w:val="17"/>
                <w:szCs w:val="17"/>
              </w:rPr>
            </w:pPr>
            <w:proofErr w:type="spellStart"/>
            <w:r>
              <w:rPr>
                <w:sz w:val="17"/>
                <w:szCs w:val="17"/>
              </w:rPr>
              <w:t>Koppelteken</w:t>
            </w:r>
            <w:proofErr w:type="spellEnd"/>
            <w:r>
              <w:rPr>
                <w:sz w:val="17"/>
                <w:szCs w:val="17"/>
              </w:rPr>
              <w:t>/</w:t>
            </w:r>
            <w:proofErr w:type="spellStart"/>
            <w:r>
              <w:rPr>
                <w:sz w:val="17"/>
                <w:szCs w:val="17"/>
              </w:rPr>
              <w:t>minteken</w:t>
            </w:r>
            <w:proofErr w:type="spellEnd"/>
          </w:p>
        </w:tc>
        <w:tc>
          <w:tcPr>
            <w:tcW w:w="3712" w:type="dxa"/>
            <w:gridSpan w:val="2"/>
          </w:tcPr>
          <w:p w:rsidR="00165A2C" w:rsidRDefault="00165A2C">
            <w:pPr>
              <w:pStyle w:val="Default"/>
              <w:rPr>
                <w:sz w:val="17"/>
                <w:szCs w:val="17"/>
              </w:rPr>
            </w:pPr>
            <w:r>
              <w:rPr>
                <w:sz w:val="17"/>
                <w:szCs w:val="17"/>
              </w:rPr>
              <w:t>—</w:t>
            </w:r>
          </w:p>
        </w:tc>
      </w:tr>
      <w:tr w:rsidR="00165A2C">
        <w:tblPrEx>
          <w:tblCellMar>
            <w:top w:w="0" w:type="dxa"/>
            <w:bottom w:w="0" w:type="dxa"/>
          </w:tblCellMar>
        </w:tblPrEx>
        <w:trPr>
          <w:trHeight w:val="103"/>
        </w:trPr>
        <w:tc>
          <w:tcPr>
            <w:tcW w:w="3712" w:type="dxa"/>
            <w:gridSpan w:val="2"/>
          </w:tcPr>
          <w:p w:rsidR="00165A2C" w:rsidRDefault="00165A2C">
            <w:pPr>
              <w:pStyle w:val="Default"/>
              <w:rPr>
                <w:sz w:val="17"/>
                <w:szCs w:val="17"/>
              </w:rPr>
            </w:pPr>
            <w:proofErr w:type="spellStart"/>
            <w:r>
              <w:rPr>
                <w:sz w:val="17"/>
                <w:szCs w:val="17"/>
              </w:rPr>
              <w:t>Openend</w:t>
            </w:r>
            <w:proofErr w:type="spellEnd"/>
            <w:r>
              <w:rPr>
                <w:sz w:val="17"/>
                <w:szCs w:val="17"/>
              </w:rPr>
              <w:t xml:space="preserve"> </w:t>
            </w:r>
            <w:proofErr w:type="spellStart"/>
            <w:r>
              <w:rPr>
                <w:sz w:val="17"/>
                <w:szCs w:val="17"/>
              </w:rPr>
              <w:t>haakje</w:t>
            </w:r>
            <w:proofErr w:type="spellEnd"/>
          </w:p>
        </w:tc>
        <w:tc>
          <w:tcPr>
            <w:tcW w:w="3712" w:type="dxa"/>
            <w:gridSpan w:val="2"/>
          </w:tcPr>
          <w:p w:rsidR="00165A2C" w:rsidRDefault="00165A2C">
            <w:pPr>
              <w:pStyle w:val="Default"/>
              <w:rPr>
                <w:sz w:val="17"/>
                <w:szCs w:val="17"/>
              </w:rPr>
            </w:pPr>
            <w:r>
              <w:rPr>
                <w:sz w:val="17"/>
                <w:szCs w:val="17"/>
              </w:rPr>
              <w:t>(</w:t>
            </w:r>
          </w:p>
        </w:tc>
      </w:tr>
      <w:tr w:rsidR="00165A2C">
        <w:tblPrEx>
          <w:tblCellMar>
            <w:top w:w="0" w:type="dxa"/>
            <w:bottom w:w="0" w:type="dxa"/>
          </w:tblCellMar>
        </w:tblPrEx>
        <w:trPr>
          <w:trHeight w:val="103"/>
        </w:trPr>
        <w:tc>
          <w:tcPr>
            <w:tcW w:w="3712" w:type="dxa"/>
            <w:gridSpan w:val="2"/>
          </w:tcPr>
          <w:p w:rsidR="00165A2C" w:rsidRDefault="00165A2C">
            <w:pPr>
              <w:pStyle w:val="Default"/>
              <w:rPr>
                <w:sz w:val="17"/>
                <w:szCs w:val="17"/>
              </w:rPr>
            </w:pPr>
            <w:proofErr w:type="spellStart"/>
            <w:r>
              <w:rPr>
                <w:sz w:val="17"/>
                <w:szCs w:val="17"/>
              </w:rPr>
              <w:t>Sluitend</w:t>
            </w:r>
            <w:proofErr w:type="spellEnd"/>
            <w:r>
              <w:rPr>
                <w:sz w:val="17"/>
                <w:szCs w:val="17"/>
              </w:rPr>
              <w:t xml:space="preserve"> </w:t>
            </w:r>
            <w:proofErr w:type="spellStart"/>
            <w:r>
              <w:rPr>
                <w:sz w:val="17"/>
                <w:szCs w:val="17"/>
              </w:rPr>
              <w:t>haakje</w:t>
            </w:r>
            <w:proofErr w:type="spellEnd"/>
          </w:p>
        </w:tc>
        <w:tc>
          <w:tcPr>
            <w:tcW w:w="3712" w:type="dxa"/>
            <w:gridSpan w:val="2"/>
          </w:tcPr>
          <w:p w:rsidR="00165A2C" w:rsidRDefault="00165A2C">
            <w:pPr>
              <w:pStyle w:val="Default"/>
              <w:rPr>
                <w:sz w:val="17"/>
                <w:szCs w:val="17"/>
              </w:rPr>
            </w:pPr>
            <w:r>
              <w:rPr>
                <w:sz w:val="17"/>
                <w:szCs w:val="17"/>
              </w:rPr>
              <w:t>)</w:t>
            </w:r>
          </w:p>
        </w:tc>
      </w:tr>
      <w:tr w:rsidR="00165A2C">
        <w:tblPrEx>
          <w:tblCellMar>
            <w:top w:w="0" w:type="dxa"/>
            <w:bottom w:w="0" w:type="dxa"/>
          </w:tblCellMar>
        </w:tblPrEx>
        <w:trPr>
          <w:trHeight w:val="103"/>
        </w:trPr>
        <w:tc>
          <w:tcPr>
            <w:tcW w:w="3712" w:type="dxa"/>
            <w:gridSpan w:val="2"/>
          </w:tcPr>
          <w:p w:rsidR="00165A2C" w:rsidRDefault="00165A2C">
            <w:pPr>
              <w:pStyle w:val="Default"/>
              <w:rPr>
                <w:sz w:val="17"/>
                <w:szCs w:val="17"/>
              </w:rPr>
            </w:pPr>
            <w:proofErr w:type="spellStart"/>
            <w:r>
              <w:rPr>
                <w:sz w:val="17"/>
                <w:szCs w:val="17"/>
              </w:rPr>
              <w:t>Schuine</w:t>
            </w:r>
            <w:proofErr w:type="spellEnd"/>
            <w:r>
              <w:rPr>
                <w:sz w:val="17"/>
                <w:szCs w:val="17"/>
              </w:rPr>
              <w:t xml:space="preserve"> </w:t>
            </w:r>
            <w:proofErr w:type="spellStart"/>
            <w:r>
              <w:rPr>
                <w:sz w:val="17"/>
                <w:szCs w:val="17"/>
              </w:rPr>
              <w:t>streep</w:t>
            </w:r>
            <w:proofErr w:type="spellEnd"/>
            <w:r>
              <w:rPr>
                <w:sz w:val="17"/>
                <w:szCs w:val="17"/>
              </w:rPr>
              <w:t xml:space="preserve"> (slash)</w:t>
            </w:r>
          </w:p>
        </w:tc>
        <w:tc>
          <w:tcPr>
            <w:tcW w:w="3712" w:type="dxa"/>
            <w:gridSpan w:val="2"/>
          </w:tcPr>
          <w:p w:rsidR="00165A2C" w:rsidRDefault="00165A2C">
            <w:pPr>
              <w:pStyle w:val="Default"/>
              <w:rPr>
                <w:sz w:val="17"/>
                <w:szCs w:val="17"/>
              </w:rPr>
            </w:pPr>
            <w:r>
              <w:rPr>
                <w:sz w:val="17"/>
                <w:szCs w:val="17"/>
              </w:rPr>
              <w:t>/</w:t>
            </w:r>
          </w:p>
        </w:tc>
      </w:tr>
      <w:tr w:rsidR="00165A2C">
        <w:tblPrEx>
          <w:tblCellMar>
            <w:top w:w="0" w:type="dxa"/>
            <w:bottom w:w="0" w:type="dxa"/>
          </w:tblCellMar>
        </w:tblPrEx>
        <w:trPr>
          <w:trHeight w:val="103"/>
        </w:trPr>
        <w:tc>
          <w:tcPr>
            <w:tcW w:w="3712" w:type="dxa"/>
            <w:gridSpan w:val="2"/>
          </w:tcPr>
          <w:p w:rsidR="00165A2C" w:rsidRDefault="00165A2C">
            <w:pPr>
              <w:pStyle w:val="Default"/>
              <w:rPr>
                <w:sz w:val="17"/>
                <w:szCs w:val="17"/>
              </w:rPr>
            </w:pPr>
            <w:proofErr w:type="spellStart"/>
            <w:r>
              <w:rPr>
                <w:sz w:val="17"/>
                <w:szCs w:val="17"/>
              </w:rPr>
              <w:t>Gelijkheidsteken</w:t>
            </w:r>
            <w:proofErr w:type="spellEnd"/>
          </w:p>
        </w:tc>
        <w:tc>
          <w:tcPr>
            <w:tcW w:w="3712" w:type="dxa"/>
            <w:gridSpan w:val="2"/>
          </w:tcPr>
          <w:p w:rsidR="00165A2C" w:rsidRDefault="00165A2C">
            <w:pPr>
              <w:pStyle w:val="Default"/>
              <w:rPr>
                <w:sz w:val="17"/>
                <w:szCs w:val="17"/>
              </w:rPr>
            </w:pPr>
            <w:r>
              <w:rPr>
                <w:sz w:val="17"/>
                <w:szCs w:val="17"/>
              </w:rPr>
              <w:t>=</w:t>
            </w:r>
          </w:p>
        </w:tc>
      </w:tr>
      <w:tr w:rsidR="00165A2C" w:rsidRPr="00165A2C">
        <w:tblPrEx>
          <w:tblCellMar>
            <w:top w:w="0" w:type="dxa"/>
            <w:bottom w:w="0" w:type="dxa"/>
          </w:tblCellMar>
        </w:tblPrEx>
        <w:trPr>
          <w:trHeight w:val="199"/>
        </w:trPr>
        <w:tc>
          <w:tcPr>
            <w:tcW w:w="2475" w:type="dxa"/>
          </w:tcPr>
          <w:p w:rsidR="00165A2C" w:rsidRDefault="00165A2C">
            <w:pPr>
              <w:pStyle w:val="Default"/>
              <w:rPr>
                <w:sz w:val="17"/>
                <w:szCs w:val="17"/>
              </w:rPr>
            </w:pPr>
            <w:proofErr w:type="spellStart"/>
            <w:r>
              <w:rPr>
                <w:sz w:val="17"/>
                <w:szCs w:val="17"/>
              </w:rPr>
              <w:t>Apostrof</w:t>
            </w:r>
            <w:proofErr w:type="spellEnd"/>
          </w:p>
        </w:tc>
        <w:tc>
          <w:tcPr>
            <w:tcW w:w="2475" w:type="dxa"/>
            <w:gridSpan w:val="2"/>
          </w:tcPr>
          <w:p w:rsidR="00165A2C" w:rsidRDefault="00165A2C">
            <w:pPr>
              <w:pStyle w:val="Default"/>
              <w:rPr>
                <w:sz w:val="17"/>
                <w:szCs w:val="17"/>
              </w:rPr>
            </w:pPr>
            <w:r>
              <w:rPr>
                <w:sz w:val="17"/>
                <w:szCs w:val="17"/>
              </w:rPr>
              <w:t>’</w:t>
            </w:r>
          </w:p>
        </w:tc>
        <w:tc>
          <w:tcPr>
            <w:tcW w:w="2475" w:type="dxa"/>
          </w:tcPr>
          <w:p w:rsidR="00165A2C" w:rsidRPr="00165A2C" w:rsidRDefault="00165A2C">
            <w:pPr>
              <w:pStyle w:val="Default"/>
              <w:rPr>
                <w:sz w:val="17"/>
                <w:szCs w:val="17"/>
                <w:lang w:val="nl-BE"/>
              </w:rPr>
            </w:pPr>
            <w:r w:rsidRPr="00165A2C">
              <w:rPr>
                <w:sz w:val="17"/>
                <w:szCs w:val="17"/>
                <w:lang w:val="nl-BE"/>
              </w:rPr>
              <w:t>Voorbehouden voor gebruik als afsluitingskenmerk</w:t>
            </w:r>
          </w:p>
        </w:tc>
      </w:tr>
      <w:tr w:rsidR="00165A2C" w:rsidRPr="00165A2C">
        <w:tblPrEx>
          <w:tblCellMar>
            <w:top w:w="0" w:type="dxa"/>
            <w:bottom w:w="0" w:type="dxa"/>
          </w:tblCellMar>
        </w:tblPrEx>
        <w:trPr>
          <w:trHeight w:val="294"/>
        </w:trPr>
        <w:tc>
          <w:tcPr>
            <w:tcW w:w="2475" w:type="dxa"/>
          </w:tcPr>
          <w:p w:rsidR="00165A2C" w:rsidRDefault="00165A2C">
            <w:pPr>
              <w:pStyle w:val="Default"/>
              <w:rPr>
                <w:sz w:val="17"/>
                <w:szCs w:val="17"/>
              </w:rPr>
            </w:pPr>
            <w:proofErr w:type="spellStart"/>
            <w:r>
              <w:rPr>
                <w:sz w:val="17"/>
                <w:szCs w:val="17"/>
              </w:rPr>
              <w:t>Plusteken</w:t>
            </w:r>
            <w:proofErr w:type="spellEnd"/>
          </w:p>
        </w:tc>
        <w:tc>
          <w:tcPr>
            <w:tcW w:w="2475" w:type="dxa"/>
            <w:gridSpan w:val="2"/>
          </w:tcPr>
          <w:p w:rsidR="00165A2C" w:rsidRDefault="00165A2C">
            <w:pPr>
              <w:pStyle w:val="Default"/>
              <w:rPr>
                <w:sz w:val="17"/>
                <w:szCs w:val="17"/>
              </w:rPr>
            </w:pPr>
            <w:r>
              <w:rPr>
                <w:sz w:val="17"/>
                <w:szCs w:val="17"/>
              </w:rPr>
              <w:t>+</w:t>
            </w:r>
          </w:p>
        </w:tc>
        <w:tc>
          <w:tcPr>
            <w:tcW w:w="2475" w:type="dxa"/>
          </w:tcPr>
          <w:p w:rsidR="00165A2C" w:rsidRPr="00165A2C" w:rsidRDefault="00165A2C">
            <w:pPr>
              <w:pStyle w:val="Default"/>
              <w:rPr>
                <w:sz w:val="17"/>
                <w:szCs w:val="17"/>
                <w:lang w:val="nl-BE"/>
              </w:rPr>
            </w:pPr>
            <w:r w:rsidRPr="00165A2C">
              <w:rPr>
                <w:sz w:val="17"/>
                <w:szCs w:val="17"/>
                <w:lang w:val="nl-BE"/>
              </w:rPr>
              <w:t>Voorbehouden voor gebruik als segmenttag en scheidingsteken voor data-elementen</w:t>
            </w:r>
          </w:p>
        </w:tc>
      </w:tr>
      <w:tr w:rsidR="00165A2C" w:rsidRPr="00165A2C">
        <w:tblPrEx>
          <w:tblCellMar>
            <w:top w:w="0" w:type="dxa"/>
            <w:bottom w:w="0" w:type="dxa"/>
          </w:tblCellMar>
        </w:tblPrEx>
        <w:trPr>
          <w:trHeight w:val="294"/>
        </w:trPr>
        <w:tc>
          <w:tcPr>
            <w:tcW w:w="2475" w:type="dxa"/>
          </w:tcPr>
          <w:p w:rsidR="00165A2C" w:rsidRDefault="00165A2C">
            <w:pPr>
              <w:pStyle w:val="Default"/>
              <w:rPr>
                <w:sz w:val="17"/>
                <w:szCs w:val="17"/>
              </w:rPr>
            </w:pPr>
            <w:proofErr w:type="spellStart"/>
            <w:r>
              <w:rPr>
                <w:sz w:val="17"/>
                <w:szCs w:val="17"/>
              </w:rPr>
              <w:t>Dubbele</w:t>
            </w:r>
            <w:proofErr w:type="spellEnd"/>
            <w:r>
              <w:rPr>
                <w:sz w:val="17"/>
                <w:szCs w:val="17"/>
              </w:rPr>
              <w:t xml:space="preserve"> punt</w:t>
            </w:r>
          </w:p>
        </w:tc>
        <w:tc>
          <w:tcPr>
            <w:tcW w:w="2475" w:type="dxa"/>
            <w:gridSpan w:val="2"/>
          </w:tcPr>
          <w:p w:rsidR="00165A2C" w:rsidRDefault="00165A2C">
            <w:pPr>
              <w:pStyle w:val="Default"/>
              <w:rPr>
                <w:sz w:val="17"/>
                <w:szCs w:val="17"/>
              </w:rPr>
            </w:pPr>
            <w:r>
              <w:rPr>
                <w:sz w:val="17"/>
                <w:szCs w:val="17"/>
              </w:rPr>
              <w:t>:</w:t>
            </w:r>
          </w:p>
        </w:tc>
        <w:tc>
          <w:tcPr>
            <w:tcW w:w="2475" w:type="dxa"/>
          </w:tcPr>
          <w:p w:rsidR="00165A2C" w:rsidRPr="00165A2C" w:rsidRDefault="00165A2C">
            <w:pPr>
              <w:pStyle w:val="Default"/>
              <w:rPr>
                <w:sz w:val="17"/>
                <w:szCs w:val="17"/>
                <w:lang w:val="nl-BE"/>
              </w:rPr>
            </w:pPr>
            <w:r w:rsidRPr="00165A2C">
              <w:rPr>
                <w:sz w:val="17"/>
                <w:szCs w:val="17"/>
                <w:lang w:val="nl-BE"/>
              </w:rPr>
              <w:t>Voorbehouden voor gebruik als scheidingsteken tussen component data-elementen</w:t>
            </w:r>
          </w:p>
        </w:tc>
      </w:tr>
      <w:tr w:rsidR="00165A2C">
        <w:tblPrEx>
          <w:tblCellMar>
            <w:top w:w="0" w:type="dxa"/>
            <w:bottom w:w="0" w:type="dxa"/>
          </w:tblCellMar>
        </w:tblPrEx>
        <w:trPr>
          <w:trHeight w:val="678"/>
        </w:trPr>
        <w:tc>
          <w:tcPr>
            <w:tcW w:w="2475" w:type="dxa"/>
          </w:tcPr>
          <w:p w:rsidR="00165A2C" w:rsidRDefault="00165A2C">
            <w:pPr>
              <w:pStyle w:val="Default"/>
              <w:rPr>
                <w:sz w:val="17"/>
                <w:szCs w:val="17"/>
              </w:rPr>
            </w:pPr>
            <w:proofErr w:type="spellStart"/>
            <w:r>
              <w:rPr>
                <w:sz w:val="17"/>
                <w:szCs w:val="17"/>
              </w:rPr>
              <w:t>Vraagteken</w:t>
            </w:r>
            <w:proofErr w:type="spellEnd"/>
          </w:p>
        </w:tc>
        <w:tc>
          <w:tcPr>
            <w:tcW w:w="2475" w:type="dxa"/>
            <w:gridSpan w:val="2"/>
          </w:tcPr>
          <w:p w:rsidR="00165A2C" w:rsidRDefault="00165A2C">
            <w:pPr>
              <w:pStyle w:val="Default"/>
              <w:rPr>
                <w:sz w:val="17"/>
                <w:szCs w:val="17"/>
              </w:rPr>
            </w:pPr>
            <w:r>
              <w:rPr>
                <w:sz w:val="17"/>
                <w:szCs w:val="17"/>
              </w:rPr>
              <w:t>?</w:t>
            </w:r>
          </w:p>
        </w:tc>
        <w:tc>
          <w:tcPr>
            <w:tcW w:w="2475" w:type="dxa"/>
          </w:tcPr>
          <w:p w:rsidR="00165A2C" w:rsidRDefault="00165A2C">
            <w:pPr>
              <w:pStyle w:val="Default"/>
              <w:rPr>
                <w:sz w:val="17"/>
                <w:szCs w:val="17"/>
              </w:rPr>
            </w:pPr>
            <w:r w:rsidRPr="00165A2C">
              <w:rPr>
                <w:sz w:val="17"/>
                <w:szCs w:val="17"/>
                <w:lang w:val="nl-BE"/>
              </w:rPr>
              <w:t xml:space="preserve">Voorbehouden voor gebruik als herstelteken ? wanneer dit onmiddellijk voorafgaat aan een van de tekens ’ + : ? herstelt de normale betekenis ervan. </w:t>
            </w:r>
            <w:proofErr w:type="spellStart"/>
            <w:r>
              <w:rPr>
                <w:sz w:val="17"/>
                <w:szCs w:val="17"/>
              </w:rPr>
              <w:t>Bijvoorbeeld</w:t>
            </w:r>
            <w:proofErr w:type="spellEnd"/>
            <w:r>
              <w:rPr>
                <w:sz w:val="17"/>
                <w:szCs w:val="17"/>
              </w:rPr>
              <w:t xml:space="preserve">, 10? + 10 = 20 </w:t>
            </w:r>
            <w:proofErr w:type="spellStart"/>
            <w:r>
              <w:rPr>
                <w:sz w:val="17"/>
                <w:szCs w:val="17"/>
              </w:rPr>
              <w:t>betekent</w:t>
            </w:r>
            <w:proofErr w:type="spellEnd"/>
            <w:r>
              <w:rPr>
                <w:sz w:val="17"/>
                <w:szCs w:val="17"/>
              </w:rPr>
              <w:t xml:space="preserve"> 10 + 10 = 20. </w:t>
            </w:r>
            <w:proofErr w:type="spellStart"/>
            <w:r>
              <w:rPr>
                <w:sz w:val="17"/>
                <w:szCs w:val="17"/>
              </w:rPr>
              <w:t>Het</w:t>
            </w:r>
            <w:proofErr w:type="spellEnd"/>
            <w:r>
              <w:rPr>
                <w:sz w:val="17"/>
                <w:szCs w:val="17"/>
              </w:rPr>
              <w:t xml:space="preserve"> </w:t>
            </w:r>
            <w:proofErr w:type="spellStart"/>
            <w:r>
              <w:rPr>
                <w:sz w:val="17"/>
                <w:szCs w:val="17"/>
              </w:rPr>
              <w:t>vraagteken</w:t>
            </w:r>
            <w:proofErr w:type="spellEnd"/>
            <w:r>
              <w:rPr>
                <w:sz w:val="17"/>
                <w:szCs w:val="17"/>
              </w:rPr>
              <w:t xml:space="preserve"> </w:t>
            </w:r>
            <w:proofErr w:type="spellStart"/>
            <w:r>
              <w:rPr>
                <w:sz w:val="17"/>
                <w:szCs w:val="17"/>
              </w:rPr>
              <w:t>wordt</w:t>
            </w:r>
            <w:proofErr w:type="spellEnd"/>
            <w:r>
              <w:rPr>
                <w:sz w:val="17"/>
                <w:szCs w:val="17"/>
              </w:rPr>
              <w:t xml:space="preserve"> </w:t>
            </w:r>
            <w:proofErr w:type="spellStart"/>
            <w:r>
              <w:rPr>
                <w:sz w:val="17"/>
                <w:szCs w:val="17"/>
              </w:rPr>
              <w:t>weergegeven</w:t>
            </w:r>
            <w:proofErr w:type="spellEnd"/>
            <w:r>
              <w:rPr>
                <w:sz w:val="17"/>
                <w:szCs w:val="17"/>
              </w:rPr>
              <w:t xml:space="preserve"> </w:t>
            </w:r>
            <w:proofErr w:type="spellStart"/>
            <w:r>
              <w:rPr>
                <w:sz w:val="17"/>
                <w:szCs w:val="17"/>
              </w:rPr>
              <w:t>door</w:t>
            </w:r>
            <w:proofErr w:type="spellEnd"/>
            <w:r>
              <w:rPr>
                <w:sz w:val="17"/>
                <w:szCs w:val="17"/>
              </w:rPr>
              <w:t>??.</w:t>
            </w:r>
          </w:p>
        </w:tc>
      </w:tr>
    </w:tbl>
    <w:p w:rsidR="006240EE" w:rsidRDefault="006240EE"/>
    <w:sectPr w:rsidR="006240EE" w:rsidSect="006240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EUAlbertina">
    <w:altName w:val="EU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65A2C"/>
    <w:rsid w:val="00165A2C"/>
    <w:rsid w:val="006240EE"/>
  </w:rsids>
  <m:mathPr>
    <m:mathFont m:val="Cambria Math"/>
    <m:brkBin m:val="before"/>
    <m:brkBinSub m:val="--"/>
    <m:smallFrac m:val="off"/>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40E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65A2C"/>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2660</Words>
  <Characters>14630</Characters>
  <Application>Microsoft Office Word</Application>
  <DocSecurity>0</DocSecurity>
  <Lines>121</Lines>
  <Paragraphs>34</Paragraphs>
  <ScaleCrop>false</ScaleCrop>
  <Company/>
  <LinksUpToDate>false</LinksUpToDate>
  <CharactersWithSpaces>17256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walter</cp:lastModifiedBy>
  <cp:revision>1</cp:revision>
  <dcterms:created xsi:type="dcterms:W3CDTF">2010-08-27T09:28:00Z</dcterms:created>
  <dcterms:modified xsi:type="dcterms:W3CDTF">2010-08-27T09:29:00Z</dcterms:modified>
</cp:coreProperties>
</file>